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2649" w14:textId="77777777" w:rsidR="00113C5A" w:rsidRPr="00455A3C" w:rsidRDefault="00113C5A" w:rsidP="00F60A53">
      <w:pPr>
        <w:pStyle w:val="F2-zkladn"/>
        <w:spacing w:line="276" w:lineRule="auto"/>
        <w:rPr>
          <w:b/>
          <w:sz w:val="28"/>
          <w:szCs w:val="28"/>
        </w:rPr>
      </w:pPr>
    </w:p>
    <w:p w14:paraId="13FA7D76" w14:textId="77777777" w:rsidR="00B123FF" w:rsidRPr="00455A3C" w:rsidRDefault="003005F4" w:rsidP="00F60A53">
      <w:pPr>
        <w:pStyle w:val="F2-zkladn"/>
        <w:spacing w:line="276" w:lineRule="auto"/>
        <w:rPr>
          <w:b/>
          <w:sz w:val="28"/>
          <w:szCs w:val="28"/>
        </w:rPr>
      </w:pPr>
      <w:bookmarkStart w:id="0" w:name="_Hlk104376839"/>
      <w:bookmarkEnd w:id="0"/>
      <w:r>
        <w:rPr>
          <w:b/>
          <w:sz w:val="28"/>
          <w:szCs w:val="28"/>
        </w:rPr>
        <w:t>TISKOVÁ ZPRÁVA</w:t>
      </w:r>
    </w:p>
    <w:p w14:paraId="0BABE186" w14:textId="18838036" w:rsidR="000A2833" w:rsidRPr="00455A3C" w:rsidRDefault="00655623" w:rsidP="00F60A53">
      <w:pPr>
        <w:pStyle w:val="F2-zkladn"/>
        <w:spacing w:line="276" w:lineRule="auto"/>
        <w:rPr>
          <w:b/>
          <w:sz w:val="28"/>
          <w:szCs w:val="28"/>
        </w:rPr>
      </w:pPr>
      <w:r>
        <w:rPr>
          <w:noProof/>
        </w:rPr>
        <mc:AlternateContent>
          <mc:Choice Requires="wps">
            <w:drawing>
              <wp:inline distT="0" distB="0" distL="0" distR="0" wp14:anchorId="44AA769E" wp14:editId="1C021F9D">
                <wp:extent cx="301625" cy="301625"/>
                <wp:effectExtent l="0" t="0" r="0" b="0"/>
                <wp:docPr id="195202070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9BB03E"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5BF79A5C" w14:textId="58684515" w:rsidR="000C727D" w:rsidRDefault="00655623" w:rsidP="002027ED">
      <w:pPr>
        <w:pStyle w:val="F2-zkladn"/>
        <w:tabs>
          <w:tab w:val="right" w:pos="9070"/>
        </w:tabs>
        <w:spacing w:line="276" w:lineRule="auto"/>
      </w:pPr>
      <w:r>
        <w:rPr>
          <w:noProof/>
        </w:rPr>
        <mc:AlternateContent>
          <mc:Choice Requires="wps">
            <w:drawing>
              <wp:inline distT="0" distB="0" distL="0" distR="0" wp14:anchorId="2D9F2642" wp14:editId="6CB2F3D8">
                <wp:extent cx="301625" cy="301625"/>
                <wp:effectExtent l="0" t="0" r="0" b="0"/>
                <wp:docPr id="201530723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C79DBB"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902C26">
        <w:t>1</w:t>
      </w:r>
      <w:r w:rsidR="00DB15BC">
        <w:t>8</w:t>
      </w:r>
      <w:r w:rsidR="005420B4" w:rsidRPr="00893890">
        <w:t>.</w:t>
      </w:r>
      <w:r w:rsidR="00954343">
        <w:t xml:space="preserve"> </w:t>
      </w:r>
      <w:r w:rsidR="004C7EA7">
        <w:t>září</w:t>
      </w:r>
      <w:r w:rsidR="00A30105" w:rsidRPr="00893890">
        <w:t xml:space="preserve"> 20</w:t>
      </w:r>
      <w:r w:rsidR="00A7414F" w:rsidRPr="00893890">
        <w:t>2</w:t>
      </w:r>
      <w:r w:rsidR="000F274E" w:rsidRPr="00893890">
        <w:t>3</w:t>
      </w:r>
    </w:p>
    <w:p w14:paraId="44E99C9B" w14:textId="77777777" w:rsidR="002027ED" w:rsidRPr="002027ED" w:rsidRDefault="002027ED" w:rsidP="002027ED">
      <w:pPr>
        <w:pStyle w:val="F2-zkladn"/>
        <w:tabs>
          <w:tab w:val="right" w:pos="9070"/>
        </w:tabs>
        <w:spacing w:line="276" w:lineRule="auto"/>
      </w:pPr>
    </w:p>
    <w:p w14:paraId="5129B056" w14:textId="13BC697F" w:rsidR="00A06FDC" w:rsidRPr="00A06FDC" w:rsidRDefault="006D04FE" w:rsidP="00A06FDC">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Průzkum </w:t>
      </w:r>
      <w:proofErr w:type="spellStart"/>
      <w:r w:rsidR="000F75F1">
        <w:rPr>
          <w:rStyle w:val="normaltextrun"/>
          <w:rFonts w:ascii="Arial" w:hAnsi="Arial" w:cs="Arial"/>
          <w:b/>
          <w:bCs/>
          <w:color w:val="000000"/>
          <w:sz w:val="28"/>
          <w:szCs w:val="28"/>
          <w:lang w:val="cs-CZ"/>
        </w:rPr>
        <w:t>Fidelity</w:t>
      </w:r>
      <w:proofErr w:type="spellEnd"/>
      <w:r w:rsidR="000F75F1">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sidR="003005F4">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 xml:space="preserve">ukazuje nedostatek odhodlání investorů pro spravedlivou transformaci </w:t>
      </w:r>
    </w:p>
    <w:p w14:paraId="475EBEC4" w14:textId="7D101985" w:rsidR="00A06FDC" w:rsidRPr="00A06FDC" w:rsidRDefault="006D04FE" w:rsidP="00A06FDC">
      <w:pPr>
        <w:pStyle w:val="paragraph"/>
        <w:numPr>
          <w:ilvl w:val="0"/>
          <w:numId w:val="29"/>
        </w:numPr>
        <w:spacing w:after="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Průzkum</w:t>
      </w:r>
      <w:r w:rsidR="00A06FDC" w:rsidRPr="00A06FDC">
        <w:rPr>
          <w:rFonts w:asciiTheme="minorHAnsi" w:eastAsiaTheme="minorHAnsi" w:hAnsiTheme="minorHAnsi" w:cstheme="minorBidi"/>
          <w:b/>
          <w:lang w:val="cs-CZ" w:eastAsia="en-US"/>
        </w:rPr>
        <w:t xml:space="preserve"> společnosti </w:t>
      </w:r>
      <w:proofErr w:type="spellStart"/>
      <w:r w:rsidR="00A06FDC" w:rsidRPr="00A06FDC">
        <w:rPr>
          <w:rFonts w:asciiTheme="minorHAnsi" w:eastAsiaTheme="minorHAnsi" w:hAnsiTheme="minorHAnsi" w:cstheme="minorBidi"/>
          <w:b/>
          <w:lang w:val="cs-CZ" w:eastAsia="en-US"/>
        </w:rPr>
        <w:t>Fidelity</w:t>
      </w:r>
      <w:proofErr w:type="spellEnd"/>
      <w:r w:rsidR="00A06FDC" w:rsidRPr="00A06FDC">
        <w:rPr>
          <w:rFonts w:asciiTheme="minorHAnsi" w:eastAsiaTheme="minorHAnsi" w:hAnsiTheme="minorHAnsi" w:cstheme="minorBidi"/>
          <w:b/>
          <w:lang w:val="cs-CZ" w:eastAsia="en-US"/>
        </w:rPr>
        <w:t xml:space="preserve"> </w:t>
      </w:r>
      <w:r>
        <w:rPr>
          <w:rFonts w:asciiTheme="minorHAnsi" w:eastAsiaTheme="minorHAnsi" w:hAnsiTheme="minorHAnsi" w:cstheme="minorBidi"/>
          <w:b/>
          <w:lang w:val="cs-CZ" w:eastAsia="en-US"/>
        </w:rPr>
        <w:t>odhaduje, že pouze 42 % investorů je obeznámeno s konceptem „spravedlivé transformace“.</w:t>
      </w:r>
    </w:p>
    <w:p w14:paraId="18C931C8" w14:textId="6DE1E6AE" w:rsidR="00A06FDC" w:rsidRDefault="006D04FE" w:rsidP="00A06FDC">
      <w:pPr>
        <w:pStyle w:val="paragraph"/>
        <w:numPr>
          <w:ilvl w:val="0"/>
          <w:numId w:val="29"/>
        </w:numPr>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91 % investorů však věří, že „spravedlivá transformace“ bude mít v dlouhodobém horizontu pozitivní dopad na rizikově očištěný výnos. </w:t>
      </w:r>
    </w:p>
    <w:p w14:paraId="7987918E" w14:textId="35A18289" w:rsidR="00A06FDC" w:rsidRPr="006D04FE" w:rsidRDefault="006D04FE" w:rsidP="00A06FDC">
      <w:pPr>
        <w:pStyle w:val="paragraph"/>
        <w:numPr>
          <w:ilvl w:val="0"/>
          <w:numId w:val="29"/>
        </w:numPr>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Pouze 35 % z těch, kteří jsou s tímto pojmem obeznámeni, již má nebo vyvíjí specializovanou investiční strategii zaměřenou na „spravedlivou transformaci“.</w:t>
      </w:r>
    </w:p>
    <w:p w14:paraId="3DA99AED" w14:textId="5B9C2BC2" w:rsidR="00A06FDC" w:rsidRPr="00E00DBF" w:rsidRDefault="00A06FDC" w:rsidP="006D04FE">
      <w:pPr>
        <w:shd w:val="clear" w:color="auto" w:fill="FFFFFF" w:themeFill="background1"/>
        <w:spacing w:line="276" w:lineRule="auto"/>
        <w:rPr>
          <w:color w:val="000000"/>
        </w:rPr>
      </w:pPr>
      <w:r w:rsidRPr="00E00DBF">
        <w:rPr>
          <w:color w:val="000000"/>
        </w:rPr>
        <w:t xml:space="preserve">Společnost </w:t>
      </w:r>
      <w:proofErr w:type="spellStart"/>
      <w:r w:rsidRPr="00E00DBF">
        <w:rPr>
          <w:color w:val="000000"/>
        </w:rPr>
        <w:t>Fidelity</w:t>
      </w:r>
      <w:proofErr w:type="spellEnd"/>
      <w:r w:rsidRPr="00E00DBF">
        <w:rPr>
          <w:color w:val="000000"/>
        </w:rPr>
        <w:t xml:space="preserve"> International ("</w:t>
      </w:r>
      <w:proofErr w:type="spellStart"/>
      <w:r w:rsidRPr="00E00DBF">
        <w:rPr>
          <w:color w:val="000000"/>
        </w:rPr>
        <w:t>Fidelity</w:t>
      </w:r>
      <w:proofErr w:type="spellEnd"/>
      <w:r w:rsidRPr="00E00DBF">
        <w:rPr>
          <w:color w:val="000000"/>
        </w:rPr>
        <w:t xml:space="preserve">") </w:t>
      </w:r>
      <w:r w:rsidR="006D04FE" w:rsidRPr="00E00DBF">
        <w:rPr>
          <w:color w:val="000000"/>
        </w:rPr>
        <w:t xml:space="preserve">zveřejnila klíčové závěry svého průzkumu o "spravedlivé transformaci", který hodnotí povědomí investorů o tomto tématu, ale i jejich chuť investovat do této oblasti. Spravedlivá transformace je jednou z klíčových priorit společnosti </w:t>
      </w:r>
      <w:proofErr w:type="spellStart"/>
      <w:r w:rsidR="006D04FE" w:rsidRPr="00E00DBF">
        <w:rPr>
          <w:color w:val="000000"/>
        </w:rPr>
        <w:t>Fidelity</w:t>
      </w:r>
      <w:proofErr w:type="spellEnd"/>
      <w:r w:rsidR="006D04FE" w:rsidRPr="00E00DBF">
        <w:rPr>
          <w:color w:val="000000"/>
        </w:rPr>
        <w:t xml:space="preserve"> v oblasti udržitelného rozvoje a v souladu se svou strategií firma ve spolupráci s </w:t>
      </w:r>
      <w:proofErr w:type="spellStart"/>
      <w:r w:rsidR="006D04FE" w:rsidRPr="00E00DBF">
        <w:rPr>
          <w:color w:val="000000"/>
        </w:rPr>
        <w:t>Coalition</w:t>
      </w:r>
      <w:proofErr w:type="spellEnd"/>
      <w:r w:rsidR="006D04FE" w:rsidRPr="00E00DBF">
        <w:rPr>
          <w:color w:val="000000"/>
        </w:rPr>
        <w:t xml:space="preserve"> Greenwich zjišťovala názory více než 120 institucionálních investorů a finančních zprostředkovatelů, aby této důležité problematice do hloubky porozuměla. </w:t>
      </w:r>
    </w:p>
    <w:p w14:paraId="2FBD23C0" w14:textId="2B9CDA6C" w:rsidR="00A06FDC" w:rsidRDefault="006D04FE" w:rsidP="00A06FDC">
      <w:pPr>
        <w:pStyle w:val="paragraph"/>
        <w:spacing w:after="0" w:line="276" w:lineRule="auto"/>
        <w:jc w:val="both"/>
        <w:textAlignment w:val="baseline"/>
        <w:rPr>
          <w:rFonts w:ascii="Arial" w:hAnsi="Arial" w:cs="Arial"/>
          <w:b/>
          <w:bCs/>
          <w:sz w:val="20"/>
          <w:szCs w:val="20"/>
          <w:lang w:val="cs-CZ" w:eastAsia="cs-CZ"/>
        </w:rPr>
      </w:pPr>
      <w:r>
        <w:rPr>
          <w:rFonts w:ascii="Arial" w:hAnsi="Arial" w:cs="Arial"/>
          <w:b/>
          <w:bCs/>
          <w:sz w:val="20"/>
          <w:szCs w:val="20"/>
          <w:lang w:val="cs-CZ" w:eastAsia="cs-CZ"/>
        </w:rPr>
        <w:t xml:space="preserve">Investorům chybí </w:t>
      </w:r>
      <w:r w:rsidR="00E00DBF">
        <w:rPr>
          <w:rFonts w:ascii="Arial" w:hAnsi="Arial" w:cs="Arial"/>
          <w:b/>
          <w:bCs/>
          <w:sz w:val="20"/>
          <w:szCs w:val="20"/>
          <w:lang w:val="cs-CZ" w:eastAsia="cs-CZ"/>
        </w:rPr>
        <w:t>pochopení i přesvědčení, že je třeba dosáhnout „spravedlivé transformace“</w:t>
      </w:r>
    </w:p>
    <w:p w14:paraId="74FCBA38" w14:textId="77777777" w:rsidR="00E00DBF" w:rsidRPr="00E00DBF" w:rsidRDefault="00E00DBF" w:rsidP="00E00DBF">
      <w:pPr>
        <w:shd w:val="clear" w:color="auto" w:fill="FFFFFF" w:themeFill="background1"/>
        <w:spacing w:line="276" w:lineRule="auto"/>
        <w:rPr>
          <w:color w:val="000000"/>
        </w:rPr>
      </w:pPr>
      <w:r w:rsidRPr="00E00DBF">
        <w:rPr>
          <w:color w:val="000000"/>
        </w:rPr>
        <w:t xml:space="preserve">Pojem "spravedlivá transformace", který společnost </w:t>
      </w:r>
      <w:proofErr w:type="spellStart"/>
      <w:r w:rsidRPr="00E00DBF">
        <w:rPr>
          <w:color w:val="000000"/>
        </w:rPr>
        <w:t>Fidelity</w:t>
      </w:r>
      <w:proofErr w:type="spellEnd"/>
      <w:r w:rsidRPr="00E00DBF">
        <w:rPr>
          <w:color w:val="000000"/>
        </w:rPr>
        <w:t xml:space="preserve"> definuje jako "dosažení přechodu z </w:t>
      </w:r>
      <w:proofErr w:type="spellStart"/>
      <w:r w:rsidRPr="00E00DBF">
        <w:rPr>
          <w:color w:val="000000"/>
        </w:rPr>
        <w:t>vysokoemisní</w:t>
      </w:r>
      <w:proofErr w:type="spellEnd"/>
      <w:r w:rsidRPr="00E00DBF">
        <w:rPr>
          <w:color w:val="000000"/>
        </w:rPr>
        <w:t xml:space="preserve"> ekonomiky na nízkouhlíkovou, a to způsobem, který je pro všechny všeobecně spravedlivý", zná pouze 42 % respondentů, přičemž povědomí o něm je nižší u asijských investorů (30 %) ve srovnání s evropskými investory (47 %).  </w:t>
      </w:r>
    </w:p>
    <w:p w14:paraId="03A80F22" w14:textId="77777777" w:rsidR="00E00DBF" w:rsidRDefault="00E00DBF" w:rsidP="00E00DBF">
      <w:pPr>
        <w:shd w:val="clear" w:color="auto" w:fill="FFFFFF" w:themeFill="background1"/>
        <w:spacing w:line="276" w:lineRule="auto"/>
        <w:rPr>
          <w:color w:val="000000"/>
        </w:rPr>
      </w:pPr>
      <w:r w:rsidRPr="00E00DBF">
        <w:rPr>
          <w:color w:val="000000"/>
        </w:rPr>
        <w:t>V souladu s nedostatečnou znalostí tohoto pojmu investoři také projevili nedostatečné přesvědčení, jak jako společnost můžeme "spravedlivé transformace" dosáhnout. 43 % respondentů se domnívá, že je to nepravděpodobné, a pokud se to podaří, více než čtvrtina investorů (27 %) si myslí, že přechod bude trvat déle než 15 let. 52 % přitom očekává, že půjde o trvalý proces.</w:t>
      </w:r>
    </w:p>
    <w:p w14:paraId="25529FE5" w14:textId="77777777" w:rsidR="00E00DBF" w:rsidRPr="00810B16" w:rsidRDefault="00E00DBF" w:rsidP="00E00DBF">
      <w:pPr>
        <w:shd w:val="clear" w:color="auto" w:fill="FFFFFF" w:themeFill="background1"/>
        <w:spacing w:line="276" w:lineRule="auto"/>
      </w:pPr>
      <w:r w:rsidRPr="00810B16">
        <w:rPr>
          <w:color w:val="000000"/>
        </w:rPr>
        <w:t>Tato nedostatečná informovanost a nízká míra odhodlání může vysvětlovat, proč pouze 35 % z těch, kteří jsou obeznámeni se "spravedliv</w:t>
      </w:r>
      <w:r>
        <w:rPr>
          <w:color w:val="000000"/>
        </w:rPr>
        <w:t>ou transformací</w:t>
      </w:r>
      <w:r w:rsidRPr="00810B16">
        <w:rPr>
          <w:color w:val="000000"/>
        </w:rPr>
        <w:t>", již má nebo vyvíjí specializovanou investiční strategii zaměřenou na toto téma. Zdá se, že Evropa je o krok napřed - 38 % respondentů v Evropě již má nebo připravuje specializovanou investiční strategii, zatímco v Asii je to jen 20 %. Více než polovina (52 %) investorů však v současné době uvažuje o tomto tématu jako o součásti širšího přístupu k ESG.</w:t>
      </w:r>
    </w:p>
    <w:p w14:paraId="21D93854" w14:textId="77777777" w:rsidR="00E00DBF" w:rsidRDefault="00E00DBF" w:rsidP="00E00DBF">
      <w:pPr>
        <w:pStyle w:val="F2-zkladn"/>
      </w:pPr>
    </w:p>
    <w:p w14:paraId="5BD818A4" w14:textId="77777777" w:rsidR="00B64D08" w:rsidRPr="00E00DBF" w:rsidRDefault="00B64D08" w:rsidP="00E00DBF">
      <w:pPr>
        <w:pStyle w:val="F2-zkladn"/>
      </w:pPr>
    </w:p>
    <w:p w14:paraId="48D8EBB2" w14:textId="7B560A0F" w:rsidR="00E00DBF" w:rsidRDefault="00E00DBF" w:rsidP="00E00DBF">
      <w:pPr>
        <w:pStyle w:val="paragraph"/>
        <w:spacing w:after="0" w:line="276" w:lineRule="auto"/>
        <w:jc w:val="both"/>
        <w:textAlignment w:val="baseline"/>
        <w:rPr>
          <w:rFonts w:ascii="Arial" w:hAnsi="Arial" w:cs="Arial"/>
          <w:b/>
          <w:bCs/>
          <w:sz w:val="20"/>
          <w:szCs w:val="20"/>
          <w:lang w:val="cs-CZ" w:eastAsia="cs-CZ"/>
        </w:rPr>
      </w:pPr>
      <w:r>
        <w:rPr>
          <w:rFonts w:ascii="Arial" w:hAnsi="Arial" w:cs="Arial"/>
          <w:b/>
          <w:bCs/>
          <w:sz w:val="20"/>
          <w:szCs w:val="20"/>
          <w:lang w:val="cs-CZ" w:eastAsia="cs-CZ"/>
        </w:rPr>
        <w:lastRenderedPageBreak/>
        <w:t>Investiční atraktivita: vytváření pozitivního dopadu prostřednictvím strategické alokace aktiv</w:t>
      </w:r>
    </w:p>
    <w:p w14:paraId="065B2596" w14:textId="77777777" w:rsidR="00E00DBF" w:rsidRPr="00E00DBF" w:rsidRDefault="00E00DBF" w:rsidP="00E00DBF">
      <w:pPr>
        <w:spacing w:line="276" w:lineRule="auto"/>
        <w:rPr>
          <w:color w:val="000000"/>
        </w:rPr>
      </w:pPr>
      <w:r w:rsidRPr="00E00DBF">
        <w:rPr>
          <w:color w:val="000000"/>
        </w:rPr>
        <w:t xml:space="preserve">V dlouhodobém horizontu se všichni dotázaní investoři v drtivé většině domnívají, že investice do "spravedlivé transformace" budou mít pozitivní dopad (91 %) na rizikově očištěný výnos, což dokazuje, že investoři toto téma vnímají jako investiční příležitost. V krátkodobém horizontu však investoři zůstávají rozděleni v názoru, zda bude mít pozitivní (21 %), negativní (26 %) nebo neutrální vliv (52 %). </w:t>
      </w:r>
    </w:p>
    <w:p w14:paraId="18928236" w14:textId="77777777" w:rsidR="00E00DBF" w:rsidRPr="00E00DBF" w:rsidRDefault="00E00DBF" w:rsidP="00E00DBF">
      <w:pPr>
        <w:spacing w:line="276" w:lineRule="auto"/>
        <w:rPr>
          <w:color w:val="000000"/>
        </w:rPr>
      </w:pPr>
      <w:r w:rsidRPr="00E00DBF">
        <w:rPr>
          <w:color w:val="000000"/>
        </w:rPr>
        <w:t xml:space="preserve">Na otázku, jaké jsou hlavní důvody pro investování do "spravedlivé transformace", zvolily více než tři čtvrtiny (77 %) respondentů "pozitivní dopad na životní prostředí dosažením čisté nuly" spolu s "pozitivním dopadem na společnost" (73 %), což zdůrazňuje úzkou souvislost mezi environmentálními a společenskými aspekty. </w:t>
      </w:r>
    </w:p>
    <w:p w14:paraId="5CC03446" w14:textId="5AC8C364" w:rsidR="00E00DBF" w:rsidRPr="00810B16" w:rsidRDefault="00E00DBF" w:rsidP="00E00DBF">
      <w:pPr>
        <w:spacing w:line="276" w:lineRule="auto"/>
      </w:pPr>
      <w:r w:rsidRPr="00810B16">
        <w:t xml:space="preserve">Vzhledem k této odezvě nepřekvapí, že 92 % odpovědí vyzdvihuje jako nejatraktivnější z investičního hlediska odvětví "obnovitelné energie", následované odvětvím technologií a IT (61 %) a zemědělsko-potravinářským odvětvím (60 %). Pokud jde o třídy aktiv, 89 % investorů se domnívá, že nejvýznamnější roli </w:t>
      </w:r>
      <w:r>
        <w:t>v</w:t>
      </w:r>
      <w:r w:rsidRPr="00810B16">
        <w:t xml:space="preserve"> dosažení "spravedlivé </w:t>
      </w:r>
      <w:r>
        <w:t>transformace</w:t>
      </w:r>
      <w:r w:rsidRPr="00810B16">
        <w:t xml:space="preserve">" budou hrát akcie, následované soukromými aktivy (81 %) a tematickými investicemi (66 %). </w:t>
      </w:r>
    </w:p>
    <w:p w14:paraId="4EE2F72C" w14:textId="1C7F5B3F" w:rsidR="00E00DBF" w:rsidRDefault="00E00DBF" w:rsidP="00E00DBF">
      <w:pPr>
        <w:pStyle w:val="paragraph"/>
        <w:spacing w:after="0" w:line="276" w:lineRule="auto"/>
        <w:jc w:val="both"/>
        <w:textAlignment w:val="baseline"/>
        <w:rPr>
          <w:rFonts w:ascii="Arial" w:hAnsi="Arial" w:cs="Arial"/>
          <w:b/>
          <w:bCs/>
          <w:sz w:val="20"/>
          <w:szCs w:val="20"/>
          <w:lang w:val="cs-CZ" w:eastAsia="cs-CZ"/>
        </w:rPr>
      </w:pPr>
      <w:r>
        <w:rPr>
          <w:rFonts w:ascii="Arial" w:hAnsi="Arial" w:cs="Arial"/>
          <w:b/>
          <w:bCs/>
          <w:sz w:val="20"/>
          <w:szCs w:val="20"/>
          <w:lang w:val="cs-CZ" w:eastAsia="cs-CZ"/>
        </w:rPr>
        <w:t>Graf: Třídy aktiv a jejich role v dosahování spravedlivé transformace</w:t>
      </w:r>
    </w:p>
    <w:p w14:paraId="3F0D0D43" w14:textId="25DCA3A9" w:rsidR="00A06FDC" w:rsidRPr="00A06FDC" w:rsidRDefault="00E00DBF" w:rsidP="00A06FDC">
      <w:pPr>
        <w:pStyle w:val="paragraph"/>
        <w:spacing w:after="0" w:line="276" w:lineRule="auto"/>
        <w:jc w:val="both"/>
        <w:textAlignment w:val="baseline"/>
        <w:rPr>
          <w:rFonts w:ascii="Arial" w:hAnsi="Arial" w:cs="Arial"/>
          <w:color w:val="20242B"/>
          <w:sz w:val="20"/>
          <w:szCs w:val="20"/>
          <w:lang w:val="cs-CZ" w:eastAsia="cs-CZ"/>
        </w:rPr>
      </w:pPr>
      <w:r w:rsidRPr="00810B16">
        <w:rPr>
          <w:rFonts w:ascii="Arial" w:hAnsi="Arial" w:cs="Arial"/>
          <w:noProof/>
          <w:color w:val="FF0000"/>
          <w:lang w:val="cs-CZ"/>
        </w:rPr>
        <w:drawing>
          <wp:inline distT="0" distB="0" distL="0" distR="0" wp14:anchorId="03469168" wp14:editId="1A4B7903">
            <wp:extent cx="5759450" cy="2315073"/>
            <wp:effectExtent l="0" t="0" r="0" b="0"/>
            <wp:docPr id="5" name="Chart 5">
              <a:extLst xmlns:a="http://schemas.openxmlformats.org/drawingml/2006/main">
                <a:ext uri="{FF2B5EF4-FFF2-40B4-BE49-F238E27FC236}">
                  <a16:creationId xmlns:a16="http://schemas.microsoft.com/office/drawing/2014/main" id="{743C1925-E637-0A71-4CFB-6390B0BA2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F6A320" w14:textId="186C1093" w:rsidR="00E00DBF" w:rsidRDefault="00E00DBF" w:rsidP="00E00DBF">
      <w:pPr>
        <w:spacing w:line="276" w:lineRule="auto"/>
        <w:rPr>
          <w:i/>
          <w:iCs/>
        </w:rPr>
      </w:pPr>
      <w:r w:rsidRPr="00E00DBF">
        <w:rPr>
          <w:i/>
          <w:iCs/>
        </w:rPr>
        <w:t xml:space="preserve">Zdroj: </w:t>
      </w:r>
      <w:proofErr w:type="spellStart"/>
      <w:r w:rsidRPr="00E00DBF">
        <w:rPr>
          <w:i/>
          <w:iCs/>
        </w:rPr>
        <w:t>Fidelity</w:t>
      </w:r>
      <w:proofErr w:type="spellEnd"/>
      <w:r w:rsidRPr="00E00DBF">
        <w:rPr>
          <w:i/>
          <w:iCs/>
        </w:rPr>
        <w:t xml:space="preserve"> International. Otázka: Na stupnici od 1 do 5, kde "1" znamená "nevýznamný" a "5" znamená "mimořádně významný". Které z následujících tříd aktiv podle vás hrají nejvýznamnější roli v dosažení spravedlivé transformace? Základ: 127</w:t>
      </w:r>
    </w:p>
    <w:p w14:paraId="638821F6" w14:textId="77777777" w:rsidR="00E00DBF" w:rsidRDefault="00E00DBF" w:rsidP="00E00DBF">
      <w:pPr>
        <w:pStyle w:val="paragraph"/>
        <w:spacing w:after="0" w:line="276" w:lineRule="auto"/>
        <w:jc w:val="both"/>
        <w:textAlignment w:val="baseline"/>
        <w:rPr>
          <w:rFonts w:ascii="Arial" w:hAnsi="Arial" w:cs="Arial"/>
          <w:b/>
          <w:bCs/>
          <w:sz w:val="20"/>
          <w:szCs w:val="20"/>
          <w:lang w:val="cs-CZ" w:eastAsia="cs-CZ"/>
        </w:rPr>
      </w:pPr>
    </w:p>
    <w:p w14:paraId="24E30C07" w14:textId="77777777" w:rsidR="00E00DBF" w:rsidRDefault="00E00DBF" w:rsidP="00E00DBF">
      <w:pPr>
        <w:pStyle w:val="paragraph"/>
        <w:spacing w:after="0" w:line="276" w:lineRule="auto"/>
        <w:jc w:val="both"/>
        <w:textAlignment w:val="baseline"/>
        <w:rPr>
          <w:rFonts w:ascii="Arial" w:hAnsi="Arial" w:cs="Arial"/>
          <w:b/>
          <w:bCs/>
          <w:sz w:val="20"/>
          <w:szCs w:val="20"/>
          <w:lang w:val="cs-CZ" w:eastAsia="cs-CZ"/>
        </w:rPr>
      </w:pPr>
    </w:p>
    <w:p w14:paraId="0767128E" w14:textId="77777777" w:rsidR="00E00DBF" w:rsidRDefault="00E00DBF" w:rsidP="00E00DBF">
      <w:pPr>
        <w:pStyle w:val="paragraph"/>
        <w:spacing w:after="0" w:line="276" w:lineRule="auto"/>
        <w:jc w:val="both"/>
        <w:textAlignment w:val="baseline"/>
        <w:rPr>
          <w:rFonts w:ascii="Arial" w:hAnsi="Arial" w:cs="Arial"/>
          <w:b/>
          <w:bCs/>
          <w:sz w:val="20"/>
          <w:szCs w:val="20"/>
          <w:lang w:val="cs-CZ" w:eastAsia="cs-CZ"/>
        </w:rPr>
      </w:pPr>
    </w:p>
    <w:p w14:paraId="59BDB304" w14:textId="77777777" w:rsidR="00E00DBF" w:rsidRDefault="00E00DBF" w:rsidP="00E00DBF">
      <w:pPr>
        <w:pStyle w:val="paragraph"/>
        <w:spacing w:after="0" w:line="276" w:lineRule="auto"/>
        <w:jc w:val="both"/>
        <w:textAlignment w:val="baseline"/>
        <w:rPr>
          <w:rFonts w:ascii="Arial" w:hAnsi="Arial" w:cs="Arial"/>
          <w:b/>
          <w:bCs/>
          <w:sz w:val="20"/>
          <w:szCs w:val="20"/>
          <w:lang w:val="cs-CZ" w:eastAsia="cs-CZ"/>
        </w:rPr>
      </w:pPr>
    </w:p>
    <w:p w14:paraId="1DA7D5A4" w14:textId="77777777" w:rsidR="00E00DBF" w:rsidRDefault="00E00DBF" w:rsidP="00E00DBF">
      <w:pPr>
        <w:pStyle w:val="paragraph"/>
        <w:spacing w:after="0" w:line="276" w:lineRule="auto"/>
        <w:jc w:val="both"/>
        <w:textAlignment w:val="baseline"/>
        <w:rPr>
          <w:rFonts w:ascii="Arial" w:hAnsi="Arial" w:cs="Arial"/>
          <w:b/>
          <w:bCs/>
          <w:sz w:val="20"/>
          <w:szCs w:val="20"/>
          <w:lang w:val="cs-CZ" w:eastAsia="cs-CZ"/>
        </w:rPr>
      </w:pPr>
      <w:r w:rsidRPr="00810B16">
        <w:rPr>
          <w:rFonts w:ascii="Arial" w:hAnsi="Arial" w:cs="Arial"/>
          <w:b/>
          <w:bCs/>
          <w:noProof/>
          <w:color w:val="5B9BD5" w:themeColor="accent1"/>
          <w:lang w:val="cs-CZ"/>
        </w:rPr>
        <w:lastRenderedPageBreak/>
        <w:drawing>
          <wp:anchor distT="0" distB="0" distL="114300" distR="114300" simplePos="0" relativeHeight="251657216" behindDoc="1" locked="0" layoutInCell="1" allowOverlap="1" wp14:anchorId="188F072C" wp14:editId="247336FA">
            <wp:simplePos x="0" y="0"/>
            <wp:positionH relativeFrom="column">
              <wp:posOffset>-1270</wp:posOffset>
            </wp:positionH>
            <wp:positionV relativeFrom="paragraph">
              <wp:posOffset>381000</wp:posOffset>
            </wp:positionV>
            <wp:extent cx="5759450" cy="2238764"/>
            <wp:effectExtent l="0" t="0" r="0" b="0"/>
            <wp:wrapTight wrapText="bothSides">
              <wp:wrapPolygon edited="0">
                <wp:start x="0" y="0"/>
                <wp:lineTo x="0" y="21508"/>
                <wp:lineTo x="21576" y="21508"/>
                <wp:lineTo x="21576" y="0"/>
                <wp:lineTo x="0" y="0"/>
              </wp:wrapPolygon>
            </wp:wrapTight>
            <wp:docPr id="1" name="Chart 1">
              <a:extLst xmlns:a="http://schemas.openxmlformats.org/drawingml/2006/main">
                <a:ext uri="{FF2B5EF4-FFF2-40B4-BE49-F238E27FC236}">
                  <a16:creationId xmlns:a16="http://schemas.microsoft.com/office/drawing/2014/main" id="{7344C73F-CD0E-ED2A-7498-2FA1057F26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Arial" w:hAnsi="Arial" w:cs="Arial"/>
          <w:b/>
          <w:bCs/>
          <w:sz w:val="20"/>
          <w:szCs w:val="20"/>
          <w:lang w:val="cs-CZ" w:eastAsia="cs-CZ"/>
        </w:rPr>
        <w:t>Graf: Hlavní důvody, proč investovat do dosažení spravedlivé transformace</w:t>
      </w:r>
    </w:p>
    <w:p w14:paraId="1BAF5852" w14:textId="77777777" w:rsidR="00E00DBF" w:rsidRPr="00E00DBF" w:rsidRDefault="00E00DBF" w:rsidP="00E00DBF">
      <w:pPr>
        <w:shd w:val="clear" w:color="auto" w:fill="FFFFFF"/>
        <w:spacing w:line="360" w:lineRule="auto"/>
        <w:rPr>
          <w:i/>
          <w:iCs/>
        </w:rPr>
      </w:pPr>
      <w:r w:rsidRPr="00E00DBF">
        <w:rPr>
          <w:i/>
          <w:iCs/>
        </w:rPr>
        <w:t xml:space="preserve">Zdroj: </w:t>
      </w:r>
      <w:proofErr w:type="spellStart"/>
      <w:r w:rsidRPr="00E00DBF">
        <w:rPr>
          <w:i/>
          <w:iCs/>
        </w:rPr>
        <w:t>Fidelity</w:t>
      </w:r>
      <w:proofErr w:type="spellEnd"/>
      <w:r w:rsidRPr="00E00DBF">
        <w:rPr>
          <w:i/>
          <w:iCs/>
        </w:rPr>
        <w:t xml:space="preserve"> </w:t>
      </w:r>
      <w:proofErr w:type="spellStart"/>
      <w:r w:rsidRPr="00E00DBF">
        <w:rPr>
          <w:i/>
          <w:iCs/>
        </w:rPr>
        <w:t>international</w:t>
      </w:r>
      <w:proofErr w:type="spellEnd"/>
      <w:r w:rsidRPr="00E00DBF">
        <w:rPr>
          <w:i/>
          <w:iCs/>
        </w:rPr>
        <w:t>. Jaké jsou nebo by byly hlavní důvody pro investování za účelem dosažení spravedlivé transformace? (Škála do 5); Základ: 127</w:t>
      </w:r>
    </w:p>
    <w:p w14:paraId="204317F3" w14:textId="40F59C18" w:rsidR="00E00DBF" w:rsidRDefault="002535CC" w:rsidP="00E00DBF">
      <w:pPr>
        <w:pStyle w:val="F2-zkladn"/>
      </w:pPr>
      <w:r>
        <w:rPr>
          <w:b/>
          <w:bCs/>
        </w:rPr>
        <w:t>Odstranění překážek</w:t>
      </w:r>
    </w:p>
    <w:p w14:paraId="3D9D2369" w14:textId="315D8311" w:rsidR="002535CC" w:rsidRPr="002535CC" w:rsidRDefault="002535CC" w:rsidP="002535CC">
      <w:pPr>
        <w:spacing w:line="276" w:lineRule="auto"/>
        <w:rPr>
          <w:color w:val="20242B"/>
        </w:rPr>
      </w:pPr>
      <w:r w:rsidRPr="002535CC">
        <w:rPr>
          <w:color w:val="20242B"/>
        </w:rPr>
        <w:t xml:space="preserve">I když je povzbudivé, že investoři vidí v dosažení "spravedlivé transformace" v dlouhodobém horizontu příležitosti k růstu, pomalé tempo jejího naplňování lze vysvětlit četnými překážkami, které přetrvávají. Průzkum totiž upozorňuje na následující problémy, které brání pokroku v této oblasti: </w:t>
      </w:r>
      <w:r>
        <w:rPr>
          <w:color w:val="20242B"/>
        </w:rPr>
        <w:br/>
      </w:r>
    </w:p>
    <w:p w14:paraId="2E45C8B2" w14:textId="7B8DC07A" w:rsidR="001134F3" w:rsidRPr="001134F3" w:rsidRDefault="002535CC" w:rsidP="001134F3">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r>
        <w:rPr>
          <w:rFonts w:ascii="Arial" w:hAnsi="Arial" w:cs="Arial"/>
          <w:color w:val="20242B"/>
          <w:sz w:val="20"/>
          <w:szCs w:val="20"/>
          <w:lang w:val="cs-CZ" w:eastAsia="cs-CZ"/>
        </w:rPr>
        <w:t>Chybí transparentní vládní politika (46 %)</w:t>
      </w:r>
    </w:p>
    <w:p w14:paraId="46312403" w14:textId="62EBBE91" w:rsidR="001134F3" w:rsidRPr="001134F3" w:rsidRDefault="002535CC" w:rsidP="001134F3">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r>
        <w:rPr>
          <w:rFonts w:ascii="Arial" w:hAnsi="Arial" w:cs="Arial"/>
          <w:color w:val="20242B"/>
          <w:sz w:val="20"/>
          <w:szCs w:val="20"/>
          <w:lang w:val="cs-CZ" w:eastAsia="cs-CZ"/>
        </w:rPr>
        <w:t>Aktivní lobbování ze strany tradičních průmyslových odvětví za delší znečišťování (29 %)</w:t>
      </w:r>
    </w:p>
    <w:p w14:paraId="663F6EA4" w14:textId="3E464CCA" w:rsidR="001134F3" w:rsidRPr="001134F3" w:rsidRDefault="002535CC" w:rsidP="001134F3">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r>
        <w:rPr>
          <w:rFonts w:ascii="Arial" w:hAnsi="Arial" w:cs="Arial"/>
          <w:color w:val="20242B"/>
          <w:sz w:val="20"/>
          <w:szCs w:val="20"/>
          <w:lang w:val="cs-CZ" w:eastAsia="cs-CZ"/>
        </w:rPr>
        <w:t>Geopolitické napětí (25 %)</w:t>
      </w:r>
    </w:p>
    <w:p w14:paraId="2A846478" w14:textId="2801A50F" w:rsidR="001134F3" w:rsidRDefault="002535CC" w:rsidP="001134F3">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r>
        <w:rPr>
          <w:rFonts w:ascii="Arial" w:hAnsi="Arial" w:cs="Arial"/>
          <w:color w:val="20242B"/>
          <w:sz w:val="20"/>
          <w:szCs w:val="20"/>
          <w:lang w:val="cs-CZ" w:eastAsia="cs-CZ"/>
        </w:rPr>
        <w:t xml:space="preserve">Hospodářská recese (21 %) </w:t>
      </w:r>
    </w:p>
    <w:p w14:paraId="63DF1EAC" w14:textId="35000458" w:rsidR="002535CC" w:rsidRPr="001134F3" w:rsidRDefault="002535CC" w:rsidP="001134F3">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r>
        <w:rPr>
          <w:rFonts w:ascii="Arial" w:hAnsi="Arial" w:cs="Arial"/>
          <w:color w:val="20242B"/>
          <w:sz w:val="20"/>
          <w:szCs w:val="20"/>
          <w:lang w:val="cs-CZ" w:eastAsia="cs-CZ"/>
        </w:rPr>
        <w:t>Zakořeněné chování spotřebitelů (21 %)</w:t>
      </w:r>
    </w:p>
    <w:p w14:paraId="1188692D" w14:textId="2004C3BB" w:rsidR="002535CC" w:rsidRPr="002535CC" w:rsidRDefault="002535CC" w:rsidP="002535CC">
      <w:pPr>
        <w:shd w:val="clear" w:color="auto" w:fill="FFFFFF" w:themeFill="background1"/>
        <w:spacing w:line="276" w:lineRule="auto"/>
        <w:rPr>
          <w:color w:val="20242B"/>
        </w:rPr>
      </w:pPr>
      <w:r w:rsidRPr="002535CC">
        <w:rPr>
          <w:color w:val="20242B"/>
        </w:rPr>
        <w:t xml:space="preserve">Emilie Goodallová, ředitelka oddělení </w:t>
      </w:r>
      <w:proofErr w:type="spellStart"/>
      <w:r w:rsidRPr="002535CC">
        <w:rPr>
          <w:color w:val="20242B"/>
        </w:rPr>
        <w:t>Stewardship</w:t>
      </w:r>
      <w:proofErr w:type="spellEnd"/>
      <w:r w:rsidRPr="002535CC">
        <w:rPr>
          <w:color w:val="20242B"/>
        </w:rPr>
        <w:t xml:space="preserve"> pro Evropu společnosti </w:t>
      </w:r>
      <w:proofErr w:type="spellStart"/>
      <w:r w:rsidRPr="002535CC">
        <w:rPr>
          <w:color w:val="20242B"/>
        </w:rPr>
        <w:t>Fidelity</w:t>
      </w:r>
      <w:proofErr w:type="spellEnd"/>
      <w:r w:rsidRPr="002535CC">
        <w:rPr>
          <w:color w:val="20242B"/>
        </w:rPr>
        <w:t xml:space="preserve"> International, uvedla: Zjednodušeně řečeno, "spravedlivá transformace" znamená proces přechodu na udržitelnější ekonomiku, který nikoho nenechá na holičkách. Ve skutečnosti však "spravedlivá transformace" zahrnuje množství témat spojených s klimatem, komunitami, pracovními trhy a rozdíly mezi rozvinutými a rozvojovými zeměmi. V důsledku toho je způsob měření a naplňování spravedlivé transformace neuvěřitelně komplexní záležitostí. Jedno je však jasné – společenský dopad přechodu na udržitelnou ekonomiku musí být ústředním hlediskem. A přestože investoři začínají chápat význam spravedlivé transfo</w:t>
      </w:r>
      <w:r>
        <w:rPr>
          <w:color w:val="20242B"/>
        </w:rPr>
        <w:t>r</w:t>
      </w:r>
      <w:r w:rsidRPr="002535CC">
        <w:rPr>
          <w:color w:val="20242B"/>
        </w:rPr>
        <w:t>mace, náš průzkum naznačuje, že je třeba podporovat další zvyšování povědomí o tomto tématu.</w:t>
      </w:r>
    </w:p>
    <w:p w14:paraId="71D59068" w14:textId="77777777" w:rsidR="002535CC" w:rsidRDefault="002535CC" w:rsidP="002535CC">
      <w:pPr>
        <w:shd w:val="clear" w:color="auto" w:fill="FFFFFF" w:themeFill="background1"/>
        <w:spacing w:line="276" w:lineRule="auto"/>
        <w:rPr>
          <w:i/>
          <w:iCs/>
          <w:color w:val="20242B"/>
        </w:rPr>
      </w:pPr>
      <w:r w:rsidRPr="002535CC">
        <w:rPr>
          <w:i/>
          <w:iCs/>
          <w:color w:val="20242B"/>
        </w:rPr>
        <w:t xml:space="preserve">"Ve společnosti </w:t>
      </w:r>
      <w:proofErr w:type="spellStart"/>
      <w:r w:rsidRPr="002535CC">
        <w:rPr>
          <w:i/>
          <w:iCs/>
          <w:color w:val="20242B"/>
        </w:rPr>
        <w:t>Fidelity</w:t>
      </w:r>
      <w:proofErr w:type="spellEnd"/>
      <w:r w:rsidRPr="002535CC">
        <w:rPr>
          <w:i/>
          <w:iCs/>
          <w:color w:val="20242B"/>
        </w:rPr>
        <w:t xml:space="preserve"> </w:t>
      </w:r>
      <w:proofErr w:type="spellStart"/>
      <w:r w:rsidRPr="002535CC">
        <w:rPr>
          <w:i/>
          <w:iCs/>
          <w:color w:val="20242B"/>
        </w:rPr>
        <w:t>international</w:t>
      </w:r>
      <w:proofErr w:type="spellEnd"/>
      <w:r w:rsidRPr="002535CC">
        <w:rPr>
          <w:i/>
          <w:iCs/>
          <w:color w:val="20242B"/>
        </w:rPr>
        <w:t xml:space="preserve"> hrajeme klíčovou roli pro zapojování investorů i společností, do nichž investujeme, do procesu spravedlivé transformace, způsobem, který je konzistentní, dostatečně konkrétní a který podporuje komunity a země, které tento přechod potřebují nejvíce. Jádrem našeho přístupu je aktivní správa – iniciativa, kombinace zapojení společností “zespoda”, tematického zapojení “seshora” a </w:t>
      </w:r>
      <w:proofErr w:type="spellStart"/>
      <w:r w:rsidRPr="002535CC">
        <w:rPr>
          <w:i/>
          <w:iCs/>
          <w:color w:val="20242B"/>
        </w:rPr>
        <w:t>celosystémového</w:t>
      </w:r>
      <w:proofErr w:type="spellEnd"/>
      <w:r w:rsidRPr="002535CC">
        <w:rPr>
          <w:i/>
          <w:iCs/>
          <w:color w:val="20242B"/>
        </w:rPr>
        <w:t xml:space="preserve"> pohledu na správu pro dosažení maximálního dopadu."</w:t>
      </w:r>
    </w:p>
    <w:p w14:paraId="26403BC1" w14:textId="77777777" w:rsidR="00A06FDC" w:rsidRDefault="00A06FDC" w:rsidP="00A06FDC">
      <w:pPr>
        <w:pStyle w:val="F2-zkladn"/>
      </w:pPr>
    </w:p>
    <w:p w14:paraId="4F9813C4" w14:textId="77777777" w:rsidR="002535CC" w:rsidRDefault="002535CC" w:rsidP="00A06FDC">
      <w:pPr>
        <w:pStyle w:val="F2-zkladn"/>
      </w:pPr>
    </w:p>
    <w:p w14:paraId="2FA7F367" w14:textId="77777777" w:rsidR="002535CC" w:rsidRDefault="002535CC" w:rsidP="00A06FDC">
      <w:pPr>
        <w:pStyle w:val="F2-zkladn"/>
      </w:pPr>
    </w:p>
    <w:p w14:paraId="5DBB6D91" w14:textId="77777777" w:rsidR="002535CC" w:rsidRPr="002535CC" w:rsidRDefault="002535CC" w:rsidP="002535CC">
      <w:pPr>
        <w:spacing w:line="360" w:lineRule="auto"/>
        <w:rPr>
          <w:b/>
        </w:rPr>
      </w:pPr>
      <w:r w:rsidRPr="002535CC">
        <w:rPr>
          <w:b/>
        </w:rPr>
        <w:lastRenderedPageBreak/>
        <w:t xml:space="preserve">O průzkumu </w:t>
      </w:r>
    </w:p>
    <w:p w14:paraId="0D693CC2" w14:textId="39071131" w:rsidR="00655623" w:rsidRPr="00655623" w:rsidRDefault="002535CC" w:rsidP="00655623">
      <w:pPr>
        <w:spacing w:line="276" w:lineRule="auto"/>
        <w:rPr>
          <w:color w:val="000000"/>
          <w:lang w:eastAsia="en-US"/>
        </w:rPr>
      </w:pPr>
      <w:r w:rsidRPr="00655623">
        <w:rPr>
          <w:color w:val="000000"/>
          <w:lang w:eastAsia="en-US"/>
        </w:rPr>
        <w:t xml:space="preserve">Společnost </w:t>
      </w:r>
      <w:proofErr w:type="spellStart"/>
      <w:r w:rsidRPr="00655623">
        <w:rPr>
          <w:color w:val="000000"/>
          <w:lang w:eastAsia="en-US"/>
        </w:rPr>
        <w:t>Fidelity</w:t>
      </w:r>
      <w:proofErr w:type="spellEnd"/>
      <w:r w:rsidRPr="00655623">
        <w:rPr>
          <w:color w:val="000000"/>
          <w:lang w:eastAsia="en-US"/>
        </w:rPr>
        <w:t xml:space="preserve"> International pověřila společnost </w:t>
      </w:r>
      <w:proofErr w:type="spellStart"/>
      <w:r w:rsidRPr="00655623">
        <w:rPr>
          <w:color w:val="000000"/>
          <w:lang w:eastAsia="en-US"/>
        </w:rPr>
        <w:t>Coalition</w:t>
      </w:r>
      <w:proofErr w:type="spellEnd"/>
      <w:r w:rsidRPr="00655623">
        <w:rPr>
          <w:color w:val="000000"/>
          <w:lang w:eastAsia="en-US"/>
        </w:rPr>
        <w:t xml:space="preserve"> Greenwich, aby provedla průzkum o "spravedlivé transformaci" a jeho investičních důsledcích mezi 120 institucionálními investory a finančními zprostředkovateli ve vybraných zemích Evropy a Asie. Průzkum byl proveden v červnu a červenci 2023.</w:t>
      </w:r>
    </w:p>
    <w:p w14:paraId="194CA3CA" w14:textId="77777777" w:rsidR="00655623" w:rsidRPr="00655623" w:rsidRDefault="00655623" w:rsidP="00655623">
      <w:pPr>
        <w:spacing w:line="360" w:lineRule="auto"/>
        <w:rPr>
          <w:b/>
        </w:rPr>
      </w:pPr>
      <w:r w:rsidRPr="00655623">
        <w:rPr>
          <w:b/>
        </w:rPr>
        <w:t xml:space="preserve">O Greenwich </w:t>
      </w:r>
      <w:proofErr w:type="spellStart"/>
      <w:r w:rsidRPr="00655623">
        <w:rPr>
          <w:b/>
        </w:rPr>
        <w:t>Coalition</w:t>
      </w:r>
      <w:proofErr w:type="spellEnd"/>
    </w:p>
    <w:p w14:paraId="703E3B1E" w14:textId="45F9BB5D" w:rsidR="002535CC" w:rsidRPr="00655623" w:rsidRDefault="00655623" w:rsidP="00655623">
      <w:pPr>
        <w:spacing w:line="360" w:lineRule="auto"/>
        <w:rPr>
          <w:sz w:val="18"/>
          <w:szCs w:val="18"/>
        </w:rPr>
      </w:pPr>
      <w:proofErr w:type="spellStart"/>
      <w:r w:rsidRPr="00655623">
        <w:rPr>
          <w:color w:val="000000"/>
          <w:lang w:eastAsia="en-US"/>
        </w:rPr>
        <w:t>Coalition</w:t>
      </w:r>
      <w:proofErr w:type="spellEnd"/>
      <w:r w:rsidRPr="00655623">
        <w:rPr>
          <w:color w:val="000000"/>
          <w:lang w:eastAsia="en-US"/>
        </w:rPr>
        <w:t xml:space="preserve"> Greenwich, divize společnosti CRISIL, </w:t>
      </w:r>
      <w:proofErr w:type="spellStart"/>
      <w:r w:rsidRPr="00655623">
        <w:rPr>
          <w:color w:val="000000"/>
          <w:lang w:eastAsia="en-US"/>
        </w:rPr>
        <w:t>an</w:t>
      </w:r>
      <w:proofErr w:type="spellEnd"/>
      <w:r w:rsidRPr="00655623">
        <w:rPr>
          <w:color w:val="000000"/>
          <w:lang w:eastAsia="en-US"/>
        </w:rPr>
        <w:t xml:space="preserve"> S&amp;P </w:t>
      </w:r>
      <w:proofErr w:type="spellStart"/>
      <w:r w:rsidRPr="00655623">
        <w:rPr>
          <w:color w:val="000000"/>
          <w:lang w:eastAsia="en-US"/>
        </w:rPr>
        <w:t>Global</w:t>
      </w:r>
      <w:proofErr w:type="spellEnd"/>
      <w:r w:rsidRPr="00655623">
        <w:rPr>
          <w:color w:val="000000"/>
          <w:lang w:eastAsia="en-US"/>
        </w:rPr>
        <w:t xml:space="preserve"> </w:t>
      </w:r>
      <w:proofErr w:type="spellStart"/>
      <w:r w:rsidRPr="00655623">
        <w:rPr>
          <w:color w:val="000000"/>
          <w:lang w:eastAsia="en-US"/>
        </w:rPr>
        <w:t>Company</w:t>
      </w:r>
      <w:proofErr w:type="spellEnd"/>
      <w:r w:rsidRPr="00655623">
        <w:rPr>
          <w:color w:val="000000"/>
          <w:lang w:eastAsia="en-US"/>
        </w:rPr>
        <w:t>, je předním světovým poskytovatelem strategického srovnávání, analýz a informací v odvětví finančních služeb. Poskytuje jedinečné, vysoce hodnotné a využitelné informace, které klientům pomáhají zlepšit výkonnost podniku, a nabízí soubor analýz a poznatků zahrnující všechny ukazatele a faktory výkonnosti. Další informace jsou k dispozici na adrese</w:t>
      </w:r>
      <w:r w:rsidRPr="00810B16">
        <w:rPr>
          <w:sz w:val="18"/>
          <w:szCs w:val="18"/>
        </w:rPr>
        <w:t xml:space="preserve"> </w:t>
      </w:r>
      <w:r w:rsidRPr="00655623">
        <w:rPr>
          <w:color w:val="000000"/>
          <w:lang w:eastAsia="en-US"/>
        </w:rPr>
        <w:t>greenwich.com.</w:t>
      </w:r>
    </w:p>
    <w:p w14:paraId="1C643EA7" w14:textId="77777777" w:rsidR="002535CC" w:rsidRPr="00A06FDC" w:rsidRDefault="002535CC" w:rsidP="00A06FDC">
      <w:pPr>
        <w:pStyle w:val="F2-zkladn"/>
      </w:pPr>
    </w:p>
    <w:p w14:paraId="09412FDC" w14:textId="77777777" w:rsidR="00725052" w:rsidRPr="00627C23" w:rsidRDefault="00725052" w:rsidP="00627C23">
      <w:pPr>
        <w:spacing w:before="0" w:line="240" w:lineRule="atLeast"/>
        <w:rPr>
          <w:color w:val="000000" w:themeColor="text1"/>
        </w:rPr>
      </w:pPr>
      <w:r w:rsidRPr="00455A3C">
        <w:rPr>
          <w:b/>
        </w:rPr>
        <w:t>Pro více informací kontaktujte:</w:t>
      </w:r>
    </w:p>
    <w:p w14:paraId="24D5CF1C" w14:textId="77777777" w:rsidR="00725052" w:rsidRDefault="00725052" w:rsidP="002027ED">
      <w:pPr>
        <w:spacing w:before="0" w:line="240" w:lineRule="atLeast"/>
        <w:rPr>
          <w:b/>
        </w:rPr>
      </w:pPr>
      <w:r>
        <w:rPr>
          <w:b/>
        </w:rPr>
        <w:t>Eliška Krohová</w:t>
      </w:r>
    </w:p>
    <w:p w14:paraId="397723E3"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2AA89694" w14:textId="77777777" w:rsidR="00725052" w:rsidRPr="00455A3C" w:rsidRDefault="00725052" w:rsidP="002027ED">
      <w:pPr>
        <w:spacing w:before="0" w:line="240" w:lineRule="atLeast"/>
      </w:pPr>
    </w:p>
    <w:p w14:paraId="20A580D0" w14:textId="77777777" w:rsidR="00725052" w:rsidRPr="00455A3C" w:rsidRDefault="00725052" w:rsidP="002027ED">
      <w:pPr>
        <w:spacing w:before="0" w:line="240" w:lineRule="atLeast"/>
      </w:pPr>
      <w:r w:rsidRPr="00455A3C">
        <w:t>Ostrovní 126/30</w:t>
      </w:r>
    </w:p>
    <w:p w14:paraId="084B6543" w14:textId="77777777" w:rsidR="00725052" w:rsidRPr="00455A3C" w:rsidRDefault="00725052" w:rsidP="002027ED">
      <w:pPr>
        <w:spacing w:before="0" w:line="240" w:lineRule="atLeast"/>
      </w:pPr>
      <w:r w:rsidRPr="00455A3C">
        <w:t>110 00 Praha 1</w:t>
      </w:r>
    </w:p>
    <w:p w14:paraId="4F786992" w14:textId="77777777" w:rsidR="00725052" w:rsidRPr="00455A3C" w:rsidRDefault="00725052" w:rsidP="002027ED">
      <w:pPr>
        <w:spacing w:before="0" w:line="240" w:lineRule="atLeast"/>
      </w:pPr>
      <w:proofErr w:type="spellStart"/>
      <w:r>
        <w:t>gsm</w:t>
      </w:r>
      <w:proofErr w:type="spellEnd"/>
      <w:r>
        <w:t>: + 420 720 406 659</w:t>
      </w:r>
    </w:p>
    <w:p w14:paraId="5976E2A6"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40E1E7A0" w14:textId="77777777" w:rsidR="005A5AB1" w:rsidRPr="005A5AB1" w:rsidRDefault="005A5AB1" w:rsidP="002027ED">
      <w:pPr>
        <w:pStyle w:val="F2-zkladn"/>
      </w:pPr>
    </w:p>
    <w:p w14:paraId="357FBF7D"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00E1FA80" w14:textId="7777777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853BD0A" w14:textId="77777777" w:rsidR="00DC0ACA" w:rsidRDefault="00DC0ACA" w:rsidP="002027ED">
      <w:pPr>
        <w:pStyle w:val="F2-zkladn"/>
        <w:rPr>
          <w:b/>
          <w:bCs/>
        </w:rPr>
      </w:pPr>
    </w:p>
    <w:p w14:paraId="3F881FD8" w14:textId="77777777" w:rsidR="00424771" w:rsidRPr="00424771" w:rsidRDefault="00424771" w:rsidP="002027ED">
      <w:pPr>
        <w:pStyle w:val="F2-zkladn"/>
        <w:rPr>
          <w:b/>
          <w:bCs/>
        </w:rPr>
      </w:pPr>
      <w:r w:rsidRPr="00424771">
        <w:rPr>
          <w:b/>
          <w:bCs/>
        </w:rPr>
        <w:t>Důležité upozornění</w:t>
      </w:r>
    </w:p>
    <w:p w14:paraId="643A868C" w14:textId="77777777" w:rsidR="00424771" w:rsidRDefault="00424771" w:rsidP="002027ED">
      <w:pPr>
        <w:pStyle w:val="F2-zkladn"/>
      </w:pPr>
      <w:r>
        <w:lastRenderedPageBreak/>
        <w:t>Toto je propagační materiál. Tento dokument nesmí být bez předchozího souhlasu rozmnožován nebo rozšiřován.</w:t>
      </w:r>
    </w:p>
    <w:p w14:paraId="344883F9"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5CFBBC8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407B5A8F"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574DF48B"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64AB551B"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BECDA22" w14:textId="77777777" w:rsidR="00424771" w:rsidRDefault="00424771" w:rsidP="002027ED">
      <w:pPr>
        <w:pStyle w:val="F2-zkladn"/>
      </w:pPr>
      <w:r>
        <w:t>Minulá výkonnost není spolehlivým ukazatelem budoucích výsledků.</w:t>
      </w:r>
    </w:p>
    <w:p w14:paraId="6878FE5A"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04C29EC9"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9524190"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lastRenderedPageBreak/>
        <w:t>Lucembursku.Obchodní</w:t>
      </w:r>
      <w:proofErr w:type="spellEnd"/>
      <w:r>
        <w:t xml:space="preserve"> známky třetích stran, autorská práva a další práva duševního vlastnictví zůstávají majetkem jejich konkrétních vlastníků.</w:t>
      </w:r>
    </w:p>
    <w:p w14:paraId="23AA022A"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5FD56B5" w14:textId="147FC44A" w:rsidR="00954343" w:rsidRDefault="00655623" w:rsidP="00655623">
      <w:pPr>
        <w:pStyle w:val="F2-zkladn"/>
      </w:pPr>
      <w:r w:rsidRPr="00655623">
        <w:t>MKAT11713</w:t>
      </w:r>
    </w:p>
    <w:sectPr w:rsidR="00954343"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6722" w14:textId="77777777" w:rsidR="002C2E7D" w:rsidRDefault="002C2E7D">
      <w:r>
        <w:separator/>
      </w:r>
    </w:p>
  </w:endnote>
  <w:endnote w:type="continuationSeparator" w:id="0">
    <w:p w14:paraId="5C2BA2A3" w14:textId="77777777" w:rsidR="002C2E7D" w:rsidRDefault="002C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4B0A"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BB93" w14:textId="77777777" w:rsidR="002C2E7D" w:rsidRDefault="002C2E7D">
      <w:r>
        <w:separator/>
      </w:r>
    </w:p>
  </w:footnote>
  <w:footnote w:type="continuationSeparator" w:id="0">
    <w:p w14:paraId="03992FC4" w14:textId="77777777" w:rsidR="002C2E7D" w:rsidRDefault="002C2E7D">
      <w:r>
        <w:continuationSeparator/>
      </w:r>
    </w:p>
  </w:footnote>
  <w:footnote w:type="continuationNotice" w:id="1">
    <w:p w14:paraId="315F950D" w14:textId="77777777" w:rsidR="002C2E7D" w:rsidRDefault="002C2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FD40"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9748" w14:textId="77777777" w:rsidR="001D1343" w:rsidRDefault="0018797C">
    <w:pPr>
      <w:pStyle w:val="Zhlav"/>
    </w:pPr>
    <w:r>
      <w:rPr>
        <w:noProof/>
      </w:rPr>
      <w:drawing>
        <wp:anchor distT="0" distB="0" distL="114300" distR="114300" simplePos="0" relativeHeight="251657728" behindDoc="0" locked="0" layoutInCell="1" allowOverlap="1" wp14:anchorId="761F38B4" wp14:editId="26CF569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29D59ED7" w14:textId="77777777" w:rsidR="001D1343" w:rsidRDefault="001D1343">
    <w:pPr>
      <w:pStyle w:val="Zhlav"/>
    </w:pPr>
  </w:p>
  <w:p w14:paraId="033B7759"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6A652A"/>
    <w:multiLevelType w:val="hybridMultilevel"/>
    <w:tmpl w:val="889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3" w15:restartNumberingAfterBreak="0">
    <w:nsid w:val="5B755401"/>
    <w:multiLevelType w:val="hybridMultilevel"/>
    <w:tmpl w:val="C93A3728"/>
    <w:lvl w:ilvl="0" w:tplc="0950C63E">
      <w:numFmt w:val="bullet"/>
      <w:lvlText w:val="-"/>
      <w:lvlJc w:val="left"/>
      <w:pPr>
        <w:ind w:left="720" w:hanging="360"/>
      </w:pPr>
      <w:rPr>
        <w:rFonts w:ascii="Arial" w:eastAsia="Times New Roman" w:hAnsi="Arial" w:cs="Arial" w:hint="default"/>
        <w:b w:val="0"/>
        <w:sz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2F7C3D"/>
    <w:multiLevelType w:val="hybridMultilevel"/>
    <w:tmpl w:val="1AB27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2C3628F"/>
    <w:multiLevelType w:val="hybridMultilevel"/>
    <w:tmpl w:val="3BCC654E"/>
    <w:lvl w:ilvl="0" w:tplc="04050001">
      <w:start w:val="1"/>
      <w:numFmt w:val="bullet"/>
      <w:lvlText w:val=""/>
      <w:lvlJc w:val="left"/>
      <w:pPr>
        <w:ind w:left="720" w:hanging="360"/>
      </w:pPr>
      <w:rPr>
        <w:rFonts w:ascii="Symbol" w:hAnsi="Symbol" w:hint="default"/>
        <w:b w:val="0"/>
        <w:sz w:val="21"/>
      </w:rPr>
    </w:lvl>
    <w:lvl w:ilvl="1" w:tplc="8482CED4">
      <w:numFmt w:val="bullet"/>
      <w:lvlText w:val="-"/>
      <w:lvlJc w:val="left"/>
      <w:pPr>
        <w:ind w:left="1440" w:hanging="360"/>
      </w:pPr>
      <w:rPr>
        <w:rFonts w:ascii="Arial" w:eastAsia="Times New Roman" w:hAnsi="Arial" w:cs="Arial" w:hint="default"/>
        <w:b w:val="0"/>
        <w:sz w:val="21"/>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0020177">
    <w:abstractNumId w:val="15"/>
  </w:num>
  <w:num w:numId="2" w16cid:durableId="624235034">
    <w:abstractNumId w:val="24"/>
  </w:num>
  <w:num w:numId="3" w16cid:durableId="1963882581">
    <w:abstractNumId w:val="29"/>
  </w:num>
  <w:num w:numId="4" w16cid:durableId="222716810">
    <w:abstractNumId w:val="18"/>
  </w:num>
  <w:num w:numId="5" w16cid:durableId="1108112886">
    <w:abstractNumId w:val="19"/>
  </w:num>
  <w:num w:numId="6" w16cid:durableId="1426488816">
    <w:abstractNumId w:val="17"/>
  </w:num>
  <w:num w:numId="7" w16cid:durableId="1365205218">
    <w:abstractNumId w:val="27"/>
  </w:num>
  <w:num w:numId="8" w16cid:durableId="1311792749">
    <w:abstractNumId w:val="21"/>
  </w:num>
  <w:num w:numId="9" w16cid:durableId="1967199675">
    <w:abstractNumId w:val="8"/>
  </w:num>
  <w:num w:numId="10" w16cid:durableId="1103066384">
    <w:abstractNumId w:val="3"/>
  </w:num>
  <w:num w:numId="11" w16cid:durableId="1411777774">
    <w:abstractNumId w:val="2"/>
  </w:num>
  <w:num w:numId="12" w16cid:durableId="217589950">
    <w:abstractNumId w:val="1"/>
  </w:num>
  <w:num w:numId="13" w16cid:durableId="612786626">
    <w:abstractNumId w:val="0"/>
  </w:num>
  <w:num w:numId="14" w16cid:durableId="1653363197">
    <w:abstractNumId w:val="11"/>
  </w:num>
  <w:num w:numId="15" w16cid:durableId="1842424151">
    <w:abstractNumId w:val="9"/>
  </w:num>
  <w:num w:numId="16" w16cid:durableId="1737705016">
    <w:abstractNumId w:val="7"/>
  </w:num>
  <w:num w:numId="17" w16cid:durableId="1791557806">
    <w:abstractNumId w:val="6"/>
  </w:num>
  <w:num w:numId="18" w16cid:durableId="1334606163">
    <w:abstractNumId w:val="5"/>
  </w:num>
  <w:num w:numId="19" w16cid:durableId="42868447">
    <w:abstractNumId w:val="4"/>
  </w:num>
  <w:num w:numId="20" w16cid:durableId="1167327341">
    <w:abstractNumId w:val="14"/>
  </w:num>
  <w:num w:numId="21" w16cid:durableId="419252356">
    <w:abstractNumId w:val="22"/>
  </w:num>
  <w:num w:numId="22" w16cid:durableId="1616015300">
    <w:abstractNumId w:val="12"/>
  </w:num>
  <w:num w:numId="23" w16cid:durableId="826635203">
    <w:abstractNumId w:val="10"/>
  </w:num>
  <w:num w:numId="24" w16cid:durableId="2087218410">
    <w:abstractNumId w:val="13"/>
  </w:num>
  <w:num w:numId="25" w16cid:durableId="294219730">
    <w:abstractNumId w:val="16"/>
  </w:num>
  <w:num w:numId="26" w16cid:durableId="817039537">
    <w:abstractNumId w:val="25"/>
  </w:num>
  <w:num w:numId="27" w16cid:durableId="139156664">
    <w:abstractNumId w:val="26"/>
  </w:num>
  <w:num w:numId="28" w16cid:durableId="1887570183">
    <w:abstractNumId w:val="23"/>
  </w:num>
  <w:num w:numId="29" w16cid:durableId="1492090845">
    <w:abstractNumId w:val="28"/>
  </w:num>
  <w:num w:numId="30" w16cid:durableId="24780875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1BA"/>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4F3"/>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35CC"/>
    <w:rsid w:val="002548DB"/>
    <w:rsid w:val="00255E9C"/>
    <w:rsid w:val="00255F84"/>
    <w:rsid w:val="00256692"/>
    <w:rsid w:val="00257859"/>
    <w:rsid w:val="0026336D"/>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2E7D"/>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05F4"/>
    <w:rsid w:val="00301881"/>
    <w:rsid w:val="00302961"/>
    <w:rsid w:val="00303102"/>
    <w:rsid w:val="00307253"/>
    <w:rsid w:val="003078EB"/>
    <w:rsid w:val="00307E7E"/>
    <w:rsid w:val="00310E2F"/>
    <w:rsid w:val="00311AE0"/>
    <w:rsid w:val="003172DF"/>
    <w:rsid w:val="003177AF"/>
    <w:rsid w:val="00320015"/>
    <w:rsid w:val="00321AE8"/>
    <w:rsid w:val="00322CF1"/>
    <w:rsid w:val="00324E48"/>
    <w:rsid w:val="00327439"/>
    <w:rsid w:val="003274DC"/>
    <w:rsid w:val="00327F8D"/>
    <w:rsid w:val="00327F8E"/>
    <w:rsid w:val="003301F8"/>
    <w:rsid w:val="00330682"/>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760"/>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5623"/>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4FE"/>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48E"/>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8F3B73"/>
    <w:rsid w:val="00900CE5"/>
    <w:rsid w:val="00902C26"/>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343"/>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6FDC"/>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36B63"/>
    <w:rsid w:val="00B4166B"/>
    <w:rsid w:val="00B418ED"/>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D08"/>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9F3"/>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3B9"/>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8F7"/>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15BC"/>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0DBF"/>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46AD"/>
    <w:rsid w:val="00E56339"/>
    <w:rsid w:val="00E56ECC"/>
    <w:rsid w:val="00E572EF"/>
    <w:rsid w:val="00E57FEE"/>
    <w:rsid w:val="00E629C3"/>
    <w:rsid w:val="00E6378F"/>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B7A23"/>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44BA3"/>
  <w15:docId w15:val="{8A1098C7-BEB4-4952-B3A1-ABCFF5E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2040563240791"/>
          <c:y val="3.3996032903876885E-2"/>
          <c:w val="0.83270561768014295"/>
          <c:h val="0.85401368553255863"/>
        </c:manualLayout>
      </c:layout>
      <c:barChart>
        <c:barDir val="bar"/>
        <c:grouping val="percentStacked"/>
        <c:varyColors val="0"/>
        <c:ser>
          <c:idx val="0"/>
          <c:order val="0"/>
          <c:tx>
            <c:strRef>
              <c:f>Sheet1!$B$1</c:f>
              <c:strCache>
                <c:ptCount val="1"/>
                <c:pt idx="0">
                  <c:v>5 – Extremely Significant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Equities</c:v>
                </c:pt>
                <c:pt idx="1">
                  <c:v>Private assets </c:v>
                </c:pt>
                <c:pt idx="2">
                  <c:v>Thematic 
investments</c:v>
                </c:pt>
                <c:pt idx="3">
                  <c:v>Real estate</c:v>
                </c:pt>
                <c:pt idx="4">
                  <c:v>Fixed income</c:v>
                </c:pt>
                <c:pt idx="5">
                  <c:v>ETFs</c:v>
                </c:pt>
                <c:pt idx="6">
                  <c:v>Multi-asset</c:v>
                </c:pt>
                <c:pt idx="7">
                  <c:v>Digital assets </c:v>
                </c:pt>
              </c:strCache>
            </c:strRef>
          </c:cat>
          <c:val>
            <c:numRef>
              <c:f>Sheet1!$B$2:$B$9</c:f>
              <c:numCache>
                <c:formatCode>0%</c:formatCode>
                <c:ptCount val="8"/>
                <c:pt idx="0">
                  <c:v>0.6</c:v>
                </c:pt>
                <c:pt idx="1">
                  <c:v>0.43</c:v>
                </c:pt>
                <c:pt idx="2">
                  <c:v>0.37</c:v>
                </c:pt>
                <c:pt idx="3">
                  <c:v>0.26</c:v>
                </c:pt>
                <c:pt idx="4">
                  <c:v>0.21</c:v>
                </c:pt>
                <c:pt idx="5">
                  <c:v>0.16</c:v>
                </c:pt>
                <c:pt idx="6">
                  <c:v>0.12</c:v>
                </c:pt>
                <c:pt idx="7">
                  <c:v>0.08</c:v>
                </c:pt>
              </c:numCache>
            </c:numRef>
          </c:val>
          <c:extLst>
            <c:ext xmlns:c16="http://schemas.microsoft.com/office/drawing/2014/chart" uri="{C3380CC4-5D6E-409C-BE32-E72D297353CC}">
              <c16:uniqueId val="{00000000-AF88-4623-8ABC-50C47ACFF6B3}"/>
            </c:ext>
          </c:extLst>
        </c:ser>
        <c:ser>
          <c:idx val="1"/>
          <c:order val="1"/>
          <c:tx>
            <c:strRef>
              <c:f>Sheet1!$C$1</c:f>
              <c:strCache>
                <c:ptCount val="1"/>
                <c:pt idx="0">
                  <c:v>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Equities</c:v>
                </c:pt>
                <c:pt idx="1">
                  <c:v>Private assets </c:v>
                </c:pt>
                <c:pt idx="2">
                  <c:v>Thematic 
investments</c:v>
                </c:pt>
                <c:pt idx="3">
                  <c:v>Real estate</c:v>
                </c:pt>
                <c:pt idx="4">
                  <c:v>Fixed income</c:v>
                </c:pt>
                <c:pt idx="5">
                  <c:v>ETFs</c:v>
                </c:pt>
                <c:pt idx="6">
                  <c:v>Multi-asset</c:v>
                </c:pt>
                <c:pt idx="7">
                  <c:v>Digital assets </c:v>
                </c:pt>
              </c:strCache>
            </c:strRef>
          </c:cat>
          <c:val>
            <c:numRef>
              <c:f>Sheet1!$C$2:$C$9</c:f>
              <c:numCache>
                <c:formatCode>0%</c:formatCode>
                <c:ptCount val="8"/>
                <c:pt idx="0">
                  <c:v>0.28999999999999998</c:v>
                </c:pt>
                <c:pt idx="1">
                  <c:v>0.38</c:v>
                </c:pt>
                <c:pt idx="2">
                  <c:v>0.28999999999999998</c:v>
                </c:pt>
                <c:pt idx="3">
                  <c:v>0.34</c:v>
                </c:pt>
                <c:pt idx="4">
                  <c:v>0.38</c:v>
                </c:pt>
                <c:pt idx="5">
                  <c:v>0.32</c:v>
                </c:pt>
                <c:pt idx="6">
                  <c:v>0.36</c:v>
                </c:pt>
                <c:pt idx="7">
                  <c:v>0.14000000000000001</c:v>
                </c:pt>
              </c:numCache>
            </c:numRef>
          </c:val>
          <c:extLst>
            <c:ext xmlns:c16="http://schemas.microsoft.com/office/drawing/2014/chart" uri="{C3380CC4-5D6E-409C-BE32-E72D297353CC}">
              <c16:uniqueId val="{00000001-AF88-4623-8ABC-50C47ACFF6B3}"/>
            </c:ext>
          </c:extLst>
        </c:ser>
        <c:ser>
          <c:idx val="2"/>
          <c:order val="2"/>
          <c:tx>
            <c:strRef>
              <c:f>Sheet1!$D$1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Equities</c:v>
                </c:pt>
                <c:pt idx="1">
                  <c:v>Private assets </c:v>
                </c:pt>
                <c:pt idx="2">
                  <c:v>Thematic 
investments</c:v>
                </c:pt>
                <c:pt idx="3">
                  <c:v>Real estate</c:v>
                </c:pt>
                <c:pt idx="4">
                  <c:v>Fixed income</c:v>
                </c:pt>
                <c:pt idx="5">
                  <c:v>ETFs</c:v>
                </c:pt>
                <c:pt idx="6">
                  <c:v>Multi-asset</c:v>
                </c:pt>
                <c:pt idx="7">
                  <c:v>Digital assets </c:v>
                </c:pt>
              </c:strCache>
            </c:strRef>
          </c:cat>
          <c:val>
            <c:numRef>
              <c:f>Sheet1!$D$2:$D$9</c:f>
              <c:numCache>
                <c:formatCode>0%</c:formatCode>
                <c:ptCount val="8"/>
                <c:pt idx="0">
                  <c:v>0.1</c:v>
                </c:pt>
                <c:pt idx="1">
                  <c:v>0.12</c:v>
                </c:pt>
                <c:pt idx="2">
                  <c:v>0.23</c:v>
                </c:pt>
                <c:pt idx="3">
                  <c:v>0.27</c:v>
                </c:pt>
                <c:pt idx="4">
                  <c:v>0.28000000000000003</c:v>
                </c:pt>
                <c:pt idx="5">
                  <c:v>0.28000000000000003</c:v>
                </c:pt>
                <c:pt idx="6">
                  <c:v>0.37</c:v>
                </c:pt>
                <c:pt idx="7">
                  <c:v>0.18</c:v>
                </c:pt>
              </c:numCache>
            </c:numRef>
          </c:val>
          <c:extLst>
            <c:ext xmlns:c16="http://schemas.microsoft.com/office/drawing/2014/chart" uri="{C3380CC4-5D6E-409C-BE32-E72D297353CC}">
              <c16:uniqueId val="{00000002-AF88-4623-8ABC-50C47ACFF6B3}"/>
            </c:ext>
          </c:extLst>
        </c:ser>
        <c:ser>
          <c:idx val="3"/>
          <c:order val="3"/>
          <c:tx>
            <c:strRef>
              <c:f>Sheet1!$E$1</c:f>
              <c:strCache>
                <c:ptCount val="1"/>
                <c:pt idx="0">
                  <c:v>2</c:v>
                </c:pt>
              </c:strCache>
            </c:strRef>
          </c:tx>
          <c:spPr>
            <a:solidFill>
              <a:schemeClr val="accent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3-AF88-4623-8ABC-50C47ACFF6B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Equities</c:v>
                </c:pt>
                <c:pt idx="1">
                  <c:v>Private assets </c:v>
                </c:pt>
                <c:pt idx="2">
                  <c:v>Thematic 
investments</c:v>
                </c:pt>
                <c:pt idx="3">
                  <c:v>Real estate</c:v>
                </c:pt>
                <c:pt idx="4">
                  <c:v>Fixed income</c:v>
                </c:pt>
                <c:pt idx="5">
                  <c:v>ETFs</c:v>
                </c:pt>
                <c:pt idx="6">
                  <c:v>Multi-asset</c:v>
                </c:pt>
                <c:pt idx="7">
                  <c:v>Digital assets </c:v>
                </c:pt>
              </c:strCache>
            </c:strRef>
          </c:cat>
          <c:val>
            <c:numRef>
              <c:f>Sheet1!$E$2:$E$9</c:f>
              <c:numCache>
                <c:formatCode>0%</c:formatCode>
                <c:ptCount val="8"/>
                <c:pt idx="0">
                  <c:v>0.01</c:v>
                </c:pt>
                <c:pt idx="1">
                  <c:v>7.0000000000000007E-2</c:v>
                </c:pt>
                <c:pt idx="2">
                  <c:v>0.09</c:v>
                </c:pt>
                <c:pt idx="3">
                  <c:v>0.13</c:v>
                </c:pt>
                <c:pt idx="4">
                  <c:v>0.11</c:v>
                </c:pt>
                <c:pt idx="5">
                  <c:v>0.11</c:v>
                </c:pt>
                <c:pt idx="6">
                  <c:v>0.11</c:v>
                </c:pt>
                <c:pt idx="7">
                  <c:v>0.25</c:v>
                </c:pt>
              </c:numCache>
            </c:numRef>
          </c:val>
          <c:extLst>
            <c:ext xmlns:c16="http://schemas.microsoft.com/office/drawing/2014/chart" uri="{C3380CC4-5D6E-409C-BE32-E72D297353CC}">
              <c16:uniqueId val="{00000004-AF88-4623-8ABC-50C47ACFF6B3}"/>
            </c:ext>
          </c:extLst>
        </c:ser>
        <c:ser>
          <c:idx val="4"/>
          <c:order val="4"/>
          <c:tx>
            <c:strRef>
              <c:f>Sheet1!$F$1</c:f>
              <c:strCache>
                <c:ptCount val="1"/>
                <c:pt idx="0">
                  <c:v>1 – Not Significant</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5-AF88-4623-8ABC-50C47ACFF6B3}"/>
                </c:ext>
              </c:extLst>
            </c:dLbl>
            <c:dLbl>
              <c:idx val="1"/>
              <c:delete val="1"/>
              <c:extLst>
                <c:ext xmlns:c15="http://schemas.microsoft.com/office/drawing/2012/chart" uri="{CE6537A1-D6FC-4f65-9D91-7224C49458BB}"/>
                <c:ext xmlns:c16="http://schemas.microsoft.com/office/drawing/2014/chart" uri="{C3380CC4-5D6E-409C-BE32-E72D297353CC}">
                  <c16:uniqueId val="{00000006-AF88-4623-8ABC-50C47ACFF6B3}"/>
                </c:ext>
              </c:extLst>
            </c:dLbl>
            <c:dLbl>
              <c:idx val="2"/>
              <c:delete val="1"/>
              <c:extLst>
                <c:ext xmlns:c15="http://schemas.microsoft.com/office/drawing/2012/chart" uri="{CE6537A1-D6FC-4f65-9D91-7224C49458BB}"/>
                <c:ext xmlns:c16="http://schemas.microsoft.com/office/drawing/2014/chart" uri="{C3380CC4-5D6E-409C-BE32-E72D297353CC}">
                  <c16:uniqueId val="{00000007-AF88-4623-8ABC-50C47ACFF6B3}"/>
                </c:ext>
              </c:extLst>
            </c:dLbl>
            <c:dLbl>
              <c:idx val="3"/>
              <c:delete val="1"/>
              <c:extLst>
                <c:ext xmlns:c15="http://schemas.microsoft.com/office/drawing/2012/chart" uri="{CE6537A1-D6FC-4f65-9D91-7224C49458BB}"/>
                <c:ext xmlns:c16="http://schemas.microsoft.com/office/drawing/2014/chart" uri="{C3380CC4-5D6E-409C-BE32-E72D297353CC}">
                  <c16:uniqueId val="{00000008-AF88-4623-8ABC-50C47ACFF6B3}"/>
                </c:ext>
              </c:extLst>
            </c:dLbl>
            <c:dLbl>
              <c:idx val="4"/>
              <c:delete val="1"/>
              <c:extLst>
                <c:ext xmlns:c15="http://schemas.microsoft.com/office/drawing/2012/chart" uri="{CE6537A1-D6FC-4f65-9D91-7224C49458BB}"/>
                <c:ext xmlns:c16="http://schemas.microsoft.com/office/drawing/2014/chart" uri="{C3380CC4-5D6E-409C-BE32-E72D297353CC}">
                  <c16:uniqueId val="{00000009-AF88-4623-8ABC-50C47ACFF6B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Equities</c:v>
                </c:pt>
                <c:pt idx="1">
                  <c:v>Private assets </c:v>
                </c:pt>
                <c:pt idx="2">
                  <c:v>Thematic 
investments</c:v>
                </c:pt>
                <c:pt idx="3">
                  <c:v>Real estate</c:v>
                </c:pt>
                <c:pt idx="4">
                  <c:v>Fixed income</c:v>
                </c:pt>
                <c:pt idx="5">
                  <c:v>ETFs</c:v>
                </c:pt>
                <c:pt idx="6">
                  <c:v>Multi-asset</c:v>
                </c:pt>
                <c:pt idx="7">
                  <c:v>Digital assets </c:v>
                </c:pt>
              </c:strCache>
            </c:strRef>
          </c:cat>
          <c:val>
            <c:numRef>
              <c:f>Sheet1!$F$2:$F$9</c:f>
              <c:numCache>
                <c:formatCode>0%</c:formatCode>
                <c:ptCount val="8"/>
                <c:pt idx="0">
                  <c:v>0</c:v>
                </c:pt>
                <c:pt idx="1">
                  <c:v>0.01</c:v>
                </c:pt>
                <c:pt idx="2">
                  <c:v>0.03</c:v>
                </c:pt>
                <c:pt idx="3">
                  <c:v>0</c:v>
                </c:pt>
                <c:pt idx="4">
                  <c:v>0.02</c:v>
                </c:pt>
                <c:pt idx="5">
                  <c:v>0.13</c:v>
                </c:pt>
                <c:pt idx="6">
                  <c:v>0.04</c:v>
                </c:pt>
                <c:pt idx="7">
                  <c:v>0.36</c:v>
                </c:pt>
              </c:numCache>
            </c:numRef>
          </c:val>
          <c:extLst>
            <c:ext xmlns:c16="http://schemas.microsoft.com/office/drawing/2014/chart" uri="{C3380CC4-5D6E-409C-BE32-E72D297353CC}">
              <c16:uniqueId val="{0000000A-AF88-4623-8ABC-50C47ACFF6B3}"/>
            </c:ext>
          </c:extLst>
        </c:ser>
        <c:dLbls>
          <c:dLblPos val="ctr"/>
          <c:showLegendKey val="0"/>
          <c:showVal val="1"/>
          <c:showCatName val="0"/>
          <c:showSerName val="0"/>
          <c:showPercent val="0"/>
          <c:showBubbleSize val="0"/>
        </c:dLbls>
        <c:gapWidth val="150"/>
        <c:overlap val="100"/>
        <c:axId val="782680800"/>
        <c:axId val="782681520"/>
      </c:barChart>
      <c:catAx>
        <c:axId val="782680800"/>
        <c:scaling>
          <c:orientation val="maxMin"/>
        </c:scaling>
        <c:delete val="0"/>
        <c:axPos val="l"/>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crossAx val="782681520"/>
        <c:crosses val="autoZero"/>
        <c:auto val="1"/>
        <c:lblAlgn val="ctr"/>
        <c:lblOffset val="100"/>
        <c:noMultiLvlLbl val="0"/>
      </c:catAx>
      <c:valAx>
        <c:axId val="782681520"/>
        <c:scaling>
          <c:orientation val="minMax"/>
        </c:scaling>
        <c:delete val="1"/>
        <c:axPos val="t"/>
        <c:numFmt formatCode="0%" sourceLinked="1"/>
        <c:majorTickMark val="none"/>
        <c:minorTickMark val="none"/>
        <c:tickLblPos val="nextTo"/>
        <c:crossAx val="782680800"/>
        <c:crosses val="autoZero"/>
        <c:crossBetween val="between"/>
      </c:valAx>
      <c:spPr>
        <a:noFill/>
        <a:ln>
          <a:noFill/>
        </a:ln>
        <a:effectLst/>
      </c:spPr>
    </c:plotArea>
    <c:legend>
      <c:legendPos val="b"/>
      <c:layout>
        <c:manualLayout>
          <c:xMode val="edge"/>
          <c:yMode val="edge"/>
          <c:x val="0.20249902348544194"/>
          <c:y val="0.92200575134031248"/>
          <c:w val="0.51801632006625353"/>
          <c:h val="7.799424865968754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Rank 1</c:v>
                </c:pt>
              </c:strCache>
            </c:strRef>
          </c:tx>
          <c:spPr>
            <a:solidFill>
              <a:schemeClr val="accent1"/>
            </a:solidFill>
            <a:ln>
              <a:noFill/>
            </a:ln>
            <a:effectLst/>
          </c:spPr>
          <c:invertIfNegative val="0"/>
          <c:dLbls>
            <c:dLbl>
              <c:idx val="8"/>
              <c:delete val="1"/>
              <c:extLst>
                <c:ext xmlns:c15="http://schemas.microsoft.com/office/drawing/2012/chart" uri="{CE6537A1-D6FC-4f65-9D91-7224C49458BB}"/>
                <c:ext xmlns:c16="http://schemas.microsoft.com/office/drawing/2014/chart" uri="{C3380CC4-5D6E-409C-BE32-E72D297353CC}">
                  <c16:uniqueId val="{00000000-1B2C-48E3-ABAF-DE99B156C4D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Renewable Energy </c:v>
                </c:pt>
                <c:pt idx="1">
                  <c:v>Technology / IT / Telecoms</c:v>
                </c:pt>
                <c:pt idx="2">
                  <c:v>Agrifood</c:v>
                </c:pt>
                <c:pt idx="3">
                  <c:v>Industrials / automotive </c:v>
                </c:pt>
                <c:pt idx="4">
                  <c:v>Oil &amp; gas</c:v>
                </c:pt>
                <c:pt idx="5">
                  <c:v>Real estate </c:v>
                </c:pt>
                <c:pt idx="6">
                  <c:v>Health</c:v>
                </c:pt>
                <c:pt idx="7">
                  <c:v>Financial services</c:v>
                </c:pt>
                <c:pt idx="8">
                  <c:v>Tourism / leisure</c:v>
                </c:pt>
              </c:strCache>
            </c:strRef>
          </c:cat>
          <c:val>
            <c:numRef>
              <c:f>Sheet1!$B$2:$B$10</c:f>
              <c:numCache>
                <c:formatCode>0%</c:formatCode>
                <c:ptCount val="9"/>
                <c:pt idx="0">
                  <c:v>0.61</c:v>
                </c:pt>
                <c:pt idx="1">
                  <c:v>0.11</c:v>
                </c:pt>
                <c:pt idx="2">
                  <c:v>0.08</c:v>
                </c:pt>
                <c:pt idx="3">
                  <c:v>0.03</c:v>
                </c:pt>
                <c:pt idx="4">
                  <c:v>0.08</c:v>
                </c:pt>
                <c:pt idx="5">
                  <c:v>0.03</c:v>
                </c:pt>
                <c:pt idx="6">
                  <c:v>0.03</c:v>
                </c:pt>
                <c:pt idx="7">
                  <c:v>0.03</c:v>
                </c:pt>
                <c:pt idx="8">
                  <c:v>0.01</c:v>
                </c:pt>
              </c:numCache>
            </c:numRef>
          </c:val>
          <c:extLst>
            <c:ext xmlns:c16="http://schemas.microsoft.com/office/drawing/2014/chart" uri="{C3380CC4-5D6E-409C-BE32-E72D297353CC}">
              <c16:uniqueId val="{00000001-1B2C-48E3-ABAF-DE99B156C4DF}"/>
            </c:ext>
          </c:extLst>
        </c:ser>
        <c:ser>
          <c:idx val="1"/>
          <c:order val="1"/>
          <c:tx>
            <c:strRef>
              <c:f>Sheet1!$C$1</c:f>
              <c:strCache>
                <c:ptCount val="1"/>
                <c:pt idx="0">
                  <c:v>Rank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Renewable Energy </c:v>
                </c:pt>
                <c:pt idx="1">
                  <c:v>Technology / IT / Telecoms</c:v>
                </c:pt>
                <c:pt idx="2">
                  <c:v>Agrifood</c:v>
                </c:pt>
                <c:pt idx="3">
                  <c:v>Industrials / automotive </c:v>
                </c:pt>
                <c:pt idx="4">
                  <c:v>Oil &amp; gas</c:v>
                </c:pt>
                <c:pt idx="5">
                  <c:v>Real estate </c:v>
                </c:pt>
                <c:pt idx="6">
                  <c:v>Health</c:v>
                </c:pt>
                <c:pt idx="7">
                  <c:v>Financial services</c:v>
                </c:pt>
                <c:pt idx="8">
                  <c:v>Tourism / leisure</c:v>
                </c:pt>
              </c:strCache>
            </c:strRef>
          </c:cat>
          <c:val>
            <c:numRef>
              <c:f>Sheet1!$C$2:$C$10</c:f>
              <c:numCache>
                <c:formatCode>0%</c:formatCode>
                <c:ptCount val="9"/>
                <c:pt idx="0">
                  <c:v>0.18</c:v>
                </c:pt>
                <c:pt idx="1">
                  <c:v>0.18</c:v>
                </c:pt>
                <c:pt idx="2">
                  <c:v>0.22</c:v>
                </c:pt>
                <c:pt idx="3">
                  <c:v>0.12</c:v>
                </c:pt>
                <c:pt idx="4">
                  <c:v>0.14000000000000001</c:v>
                </c:pt>
                <c:pt idx="5">
                  <c:v>0.05</c:v>
                </c:pt>
                <c:pt idx="6">
                  <c:v>0.04</c:v>
                </c:pt>
                <c:pt idx="7">
                  <c:v>0.04</c:v>
                </c:pt>
                <c:pt idx="8">
                  <c:v>0.03</c:v>
                </c:pt>
              </c:numCache>
            </c:numRef>
          </c:val>
          <c:extLst>
            <c:ext xmlns:c16="http://schemas.microsoft.com/office/drawing/2014/chart" uri="{C3380CC4-5D6E-409C-BE32-E72D297353CC}">
              <c16:uniqueId val="{00000002-1B2C-48E3-ABAF-DE99B156C4DF}"/>
            </c:ext>
          </c:extLst>
        </c:ser>
        <c:ser>
          <c:idx val="2"/>
          <c:order val="2"/>
          <c:tx>
            <c:strRef>
              <c:f>Sheet1!$D$1</c:f>
              <c:strCache>
                <c:ptCount val="1"/>
                <c:pt idx="0">
                  <c:v>Rank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Renewable Energy </c:v>
                </c:pt>
                <c:pt idx="1">
                  <c:v>Technology / IT / Telecoms</c:v>
                </c:pt>
                <c:pt idx="2">
                  <c:v>Agrifood</c:v>
                </c:pt>
                <c:pt idx="3">
                  <c:v>Industrials / automotive </c:v>
                </c:pt>
                <c:pt idx="4">
                  <c:v>Oil &amp; gas</c:v>
                </c:pt>
                <c:pt idx="5">
                  <c:v>Real estate </c:v>
                </c:pt>
                <c:pt idx="6">
                  <c:v>Health</c:v>
                </c:pt>
                <c:pt idx="7">
                  <c:v>Financial services</c:v>
                </c:pt>
                <c:pt idx="8">
                  <c:v>Tourism / leisure</c:v>
                </c:pt>
              </c:strCache>
            </c:strRef>
          </c:cat>
          <c:val>
            <c:numRef>
              <c:f>Sheet1!$D$2:$D$10</c:f>
              <c:numCache>
                <c:formatCode>0%</c:formatCode>
                <c:ptCount val="9"/>
                <c:pt idx="0">
                  <c:v>0.08</c:v>
                </c:pt>
                <c:pt idx="1">
                  <c:v>0.14000000000000001</c:v>
                </c:pt>
                <c:pt idx="2">
                  <c:v>0.16</c:v>
                </c:pt>
                <c:pt idx="3">
                  <c:v>0.17</c:v>
                </c:pt>
                <c:pt idx="4">
                  <c:v>0.06</c:v>
                </c:pt>
                <c:pt idx="5">
                  <c:v>0.13</c:v>
                </c:pt>
                <c:pt idx="6">
                  <c:v>0.13</c:v>
                </c:pt>
                <c:pt idx="7">
                  <c:v>7.0000000000000007E-2</c:v>
                </c:pt>
                <c:pt idx="8">
                  <c:v>0.05</c:v>
                </c:pt>
              </c:numCache>
            </c:numRef>
          </c:val>
          <c:extLst>
            <c:ext xmlns:c16="http://schemas.microsoft.com/office/drawing/2014/chart" uri="{C3380CC4-5D6E-409C-BE32-E72D297353CC}">
              <c16:uniqueId val="{00000003-1B2C-48E3-ABAF-DE99B156C4DF}"/>
            </c:ext>
          </c:extLst>
        </c:ser>
        <c:ser>
          <c:idx val="3"/>
          <c:order val="3"/>
          <c:tx>
            <c:strRef>
              <c:f>Sheet1!$E$1</c:f>
              <c:strCache>
                <c:ptCount val="1"/>
                <c:pt idx="0">
                  <c:v>Rank 4</c:v>
                </c:pt>
              </c:strCache>
            </c:strRef>
          </c:tx>
          <c:spPr>
            <a:solidFill>
              <a:schemeClr val="accent4"/>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1B2C-48E3-ABAF-DE99B156C4DF}"/>
                </c:ext>
              </c:extLst>
            </c:dLbl>
            <c:dLbl>
              <c:idx val="8"/>
              <c:delete val="1"/>
              <c:extLst>
                <c:ext xmlns:c15="http://schemas.microsoft.com/office/drawing/2012/chart" uri="{CE6537A1-D6FC-4f65-9D91-7224C49458BB}"/>
                <c:ext xmlns:c16="http://schemas.microsoft.com/office/drawing/2014/chart" uri="{C3380CC4-5D6E-409C-BE32-E72D297353CC}">
                  <c16:uniqueId val="{00000005-1B2C-48E3-ABAF-DE99B156C4D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Renewable Energy </c:v>
                </c:pt>
                <c:pt idx="1">
                  <c:v>Technology / IT / Telecoms</c:v>
                </c:pt>
                <c:pt idx="2">
                  <c:v>Agrifood</c:v>
                </c:pt>
                <c:pt idx="3">
                  <c:v>Industrials / automotive </c:v>
                </c:pt>
                <c:pt idx="4">
                  <c:v>Oil &amp; gas</c:v>
                </c:pt>
                <c:pt idx="5">
                  <c:v>Real estate </c:v>
                </c:pt>
                <c:pt idx="6">
                  <c:v>Health</c:v>
                </c:pt>
                <c:pt idx="7">
                  <c:v>Financial services</c:v>
                </c:pt>
                <c:pt idx="8">
                  <c:v>Tourism / leisure</c:v>
                </c:pt>
              </c:strCache>
            </c:strRef>
          </c:cat>
          <c:val>
            <c:numRef>
              <c:f>Sheet1!$E$2:$E$10</c:f>
              <c:numCache>
                <c:formatCode>0%</c:formatCode>
                <c:ptCount val="9"/>
                <c:pt idx="0">
                  <c:v>0.02</c:v>
                </c:pt>
                <c:pt idx="1">
                  <c:v>0.12</c:v>
                </c:pt>
                <c:pt idx="2">
                  <c:v>0.1</c:v>
                </c:pt>
                <c:pt idx="3">
                  <c:v>0.13</c:v>
                </c:pt>
                <c:pt idx="4">
                  <c:v>7.0000000000000007E-2</c:v>
                </c:pt>
                <c:pt idx="5">
                  <c:v>0.03</c:v>
                </c:pt>
                <c:pt idx="6">
                  <c:v>0.09</c:v>
                </c:pt>
                <c:pt idx="7">
                  <c:v>0.05</c:v>
                </c:pt>
                <c:pt idx="8">
                  <c:v>0.02</c:v>
                </c:pt>
              </c:numCache>
            </c:numRef>
          </c:val>
          <c:extLst>
            <c:ext xmlns:c16="http://schemas.microsoft.com/office/drawing/2014/chart" uri="{C3380CC4-5D6E-409C-BE32-E72D297353CC}">
              <c16:uniqueId val="{00000006-1B2C-48E3-ABAF-DE99B156C4DF}"/>
            </c:ext>
          </c:extLst>
        </c:ser>
        <c:ser>
          <c:idx val="4"/>
          <c:order val="4"/>
          <c:tx>
            <c:strRef>
              <c:f>Sheet1!$F$1</c:f>
              <c:strCache>
                <c:ptCount val="1"/>
                <c:pt idx="0">
                  <c:v>Rank 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Renewable Energy </c:v>
                </c:pt>
                <c:pt idx="1">
                  <c:v>Technology / IT / Telecoms</c:v>
                </c:pt>
                <c:pt idx="2">
                  <c:v>Agrifood</c:v>
                </c:pt>
                <c:pt idx="3">
                  <c:v>Industrials / automotive </c:v>
                </c:pt>
                <c:pt idx="4">
                  <c:v>Oil &amp; gas</c:v>
                </c:pt>
                <c:pt idx="5">
                  <c:v>Real estate </c:v>
                </c:pt>
                <c:pt idx="6">
                  <c:v>Health</c:v>
                </c:pt>
                <c:pt idx="7">
                  <c:v>Financial services</c:v>
                </c:pt>
                <c:pt idx="8">
                  <c:v>Tourism / leisure</c:v>
                </c:pt>
              </c:strCache>
            </c:strRef>
          </c:cat>
          <c:val>
            <c:numRef>
              <c:f>Sheet1!$F$2:$F$10</c:f>
              <c:numCache>
                <c:formatCode>0%</c:formatCode>
                <c:ptCount val="9"/>
                <c:pt idx="0">
                  <c:v>0.03</c:v>
                </c:pt>
                <c:pt idx="1">
                  <c:v>0.06</c:v>
                </c:pt>
                <c:pt idx="2">
                  <c:v>0.04</c:v>
                </c:pt>
                <c:pt idx="3">
                  <c:v>7.0000000000000007E-2</c:v>
                </c:pt>
                <c:pt idx="4">
                  <c:v>7.0000000000000007E-2</c:v>
                </c:pt>
                <c:pt idx="5">
                  <c:v>0.12</c:v>
                </c:pt>
                <c:pt idx="6">
                  <c:v>0.04</c:v>
                </c:pt>
                <c:pt idx="7">
                  <c:v>0.06</c:v>
                </c:pt>
                <c:pt idx="8">
                  <c:v>0.08</c:v>
                </c:pt>
              </c:numCache>
            </c:numRef>
          </c:val>
          <c:extLst>
            <c:ext xmlns:c16="http://schemas.microsoft.com/office/drawing/2014/chart" uri="{C3380CC4-5D6E-409C-BE32-E72D297353CC}">
              <c16:uniqueId val="{00000007-1B2C-48E3-ABAF-DE99B156C4DF}"/>
            </c:ext>
          </c:extLst>
        </c:ser>
        <c:dLbls>
          <c:dLblPos val="ctr"/>
          <c:showLegendKey val="0"/>
          <c:showVal val="1"/>
          <c:showCatName val="0"/>
          <c:showSerName val="0"/>
          <c:showPercent val="0"/>
          <c:showBubbleSize val="0"/>
        </c:dLbls>
        <c:gapWidth val="150"/>
        <c:overlap val="100"/>
        <c:axId val="283866288"/>
        <c:axId val="283864848"/>
      </c:barChart>
      <c:catAx>
        <c:axId val="283866288"/>
        <c:scaling>
          <c:orientation val="minMax"/>
        </c:scaling>
        <c:delete val="0"/>
        <c:axPos val="b"/>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crossAx val="283864848"/>
        <c:crosses val="autoZero"/>
        <c:auto val="1"/>
        <c:lblAlgn val="ctr"/>
        <c:lblOffset val="100"/>
        <c:noMultiLvlLbl val="0"/>
      </c:catAx>
      <c:valAx>
        <c:axId val="283864848"/>
        <c:scaling>
          <c:orientation val="minMax"/>
        </c:scaling>
        <c:delete val="1"/>
        <c:axPos val="l"/>
        <c:numFmt formatCode="0%" sourceLinked="1"/>
        <c:majorTickMark val="none"/>
        <c:minorTickMark val="none"/>
        <c:tickLblPos val="nextTo"/>
        <c:crossAx val="283866288"/>
        <c:crosses val="autoZero"/>
        <c:crossBetween val="between"/>
      </c:valAx>
      <c:spPr>
        <a:noFill/>
        <a:ln>
          <a:noFill/>
        </a:ln>
        <a:effectLst/>
      </c:spPr>
    </c:plotArea>
    <c:legend>
      <c:legendPos val="b"/>
      <c:layout>
        <c:manualLayout>
          <c:xMode val="edge"/>
          <c:yMode val="edge"/>
          <c:x val="0.10892161669751574"/>
          <c:y val="0.91786001691483632"/>
          <c:w val="0.78080690995545321"/>
          <c:h val="8.213998308516364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6" ma:contentTypeDescription="Vytvoří nový dokument" ma:contentTypeScope="" ma:versionID="7a1d9d3fc6e9f4e3caf3669a4630e28c">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315eff189518f03c9ed77682e510ed7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BF747501-CC8D-4C78-9811-BA7F23B2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4B9FD-6122-413E-A215-95ECA624B930}">
  <ds:schemaRefs>
    <ds:schemaRef ds:uri="http://schemas.openxmlformats.org/officeDocument/2006/bibliography"/>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1728</Words>
  <Characters>10200</Characters>
  <Application>Microsoft Office Word</Application>
  <DocSecurity>0</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11905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2023-09-18T08:07:00Z</dcterms:created>
  <dcterms:modified xsi:type="dcterms:W3CDTF">2023-09-18T08:07:00Z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